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3A46" w14:textId="77777777" w:rsidR="00AC5FEB" w:rsidRPr="00CD287B" w:rsidRDefault="00AC5FEB" w:rsidP="00AC5FEB">
      <w:pPr>
        <w:rPr>
          <w:rFonts w:ascii="Arial" w:hAnsi="Arial" w:cs="Arial"/>
          <w:b/>
          <w:i/>
          <w:sz w:val="28"/>
          <w:szCs w:val="28"/>
        </w:rPr>
      </w:pPr>
    </w:p>
    <w:tbl>
      <w:tblPr>
        <w:tblStyle w:val="TableGrid"/>
        <w:tblpPr w:leftFromText="180" w:rightFromText="180" w:vertAnchor="text" w:horzAnchor="margin" w:tblpY="-26"/>
        <w:tblW w:w="9209" w:type="dxa"/>
        <w:tblLook w:val="04A0" w:firstRow="1" w:lastRow="0" w:firstColumn="1" w:lastColumn="0" w:noHBand="0" w:noVBand="1"/>
      </w:tblPr>
      <w:tblGrid>
        <w:gridCol w:w="9209"/>
      </w:tblGrid>
      <w:tr w:rsidR="00AC5FEB" w14:paraId="151E3691" w14:textId="77777777" w:rsidTr="00FC73F6">
        <w:tc>
          <w:tcPr>
            <w:tcW w:w="9209" w:type="dxa"/>
            <w:shd w:val="clear" w:color="auto" w:fill="8EAADB" w:themeFill="accent1" w:themeFillTint="99"/>
          </w:tcPr>
          <w:p w14:paraId="66EB97CC" w14:textId="77777777" w:rsidR="00AC5FEB" w:rsidRPr="00977B82" w:rsidRDefault="00AC5FEB" w:rsidP="00B90A95">
            <w:pPr>
              <w:rPr>
                <w:rFonts w:ascii="Arial" w:hAnsi="Arial" w:cs="Arial"/>
                <w:i/>
                <w:sz w:val="28"/>
                <w:szCs w:val="28"/>
              </w:rPr>
            </w:pPr>
          </w:p>
          <w:p w14:paraId="772B5D6D" w14:textId="3B20FBD6" w:rsidR="00AC5FEB" w:rsidRDefault="00AC5FEB" w:rsidP="00B90A95">
            <w:pPr>
              <w:rPr>
                <w:rFonts w:ascii="Arial" w:hAnsi="Arial" w:cs="Arial"/>
                <w:b/>
                <w:i/>
                <w:sz w:val="28"/>
                <w:szCs w:val="28"/>
              </w:rPr>
            </w:pPr>
            <w:r w:rsidRPr="00977B82">
              <w:rPr>
                <w:rFonts w:ascii="Arial" w:hAnsi="Arial" w:cs="Arial"/>
                <w:b/>
                <w:i/>
                <w:sz w:val="28"/>
                <w:szCs w:val="28"/>
              </w:rPr>
              <w:t xml:space="preserve">POLICY AND PROCEDURE – </w:t>
            </w:r>
            <w:r>
              <w:rPr>
                <w:rFonts w:ascii="Arial" w:hAnsi="Arial" w:cs="Arial"/>
                <w:b/>
                <w:i/>
                <w:sz w:val="28"/>
                <w:szCs w:val="28"/>
              </w:rPr>
              <w:t>HR</w:t>
            </w:r>
            <w:r w:rsidRPr="00977B82">
              <w:rPr>
                <w:rFonts w:ascii="Arial" w:hAnsi="Arial" w:cs="Arial"/>
                <w:b/>
                <w:i/>
                <w:sz w:val="28"/>
                <w:szCs w:val="28"/>
              </w:rPr>
              <w:t>001.</w:t>
            </w:r>
            <w:r w:rsidR="00FC73F6">
              <w:rPr>
                <w:rFonts w:ascii="Arial" w:hAnsi="Arial" w:cs="Arial"/>
                <w:b/>
                <w:i/>
                <w:sz w:val="28"/>
                <w:szCs w:val="28"/>
              </w:rPr>
              <w:t>1</w:t>
            </w:r>
            <w:r w:rsidR="0059464F">
              <w:rPr>
                <w:rFonts w:ascii="Arial" w:hAnsi="Arial" w:cs="Arial"/>
                <w:b/>
                <w:i/>
                <w:sz w:val="28"/>
                <w:szCs w:val="28"/>
              </w:rPr>
              <w:t>8</w:t>
            </w:r>
          </w:p>
          <w:p w14:paraId="55AC0327" w14:textId="77777777" w:rsidR="00AC5FEB" w:rsidRDefault="00AC5FEB" w:rsidP="00B90A95">
            <w:pPr>
              <w:rPr>
                <w:rFonts w:ascii="Arial" w:hAnsi="Arial" w:cs="Arial"/>
                <w:b/>
                <w:i/>
                <w:sz w:val="28"/>
                <w:szCs w:val="28"/>
              </w:rPr>
            </w:pPr>
          </w:p>
          <w:p w14:paraId="4301C004" w14:textId="77777777" w:rsidR="00AC5FEB" w:rsidRDefault="00AC5FEB" w:rsidP="00B90A95">
            <w:pPr>
              <w:rPr>
                <w:rFonts w:ascii="Arial" w:hAnsi="Arial" w:cs="Arial"/>
                <w:b/>
                <w:i/>
                <w:sz w:val="28"/>
                <w:szCs w:val="28"/>
              </w:rPr>
            </w:pPr>
            <w:r>
              <w:rPr>
                <w:rFonts w:ascii="Arial" w:hAnsi="Arial" w:cs="Arial"/>
                <w:b/>
                <w:i/>
                <w:sz w:val="28"/>
                <w:szCs w:val="28"/>
              </w:rPr>
              <w:t>EMPLOYEE CONFLICT OF INTEREST</w:t>
            </w:r>
          </w:p>
          <w:p w14:paraId="353032EB" w14:textId="77777777" w:rsidR="00AC5FEB" w:rsidRPr="007C7B86" w:rsidRDefault="00AC5FEB" w:rsidP="00B90A95">
            <w:pPr>
              <w:rPr>
                <w:rFonts w:ascii="Arial" w:hAnsi="Arial" w:cs="Arial"/>
                <w:b/>
                <w:i/>
                <w:sz w:val="28"/>
                <w:szCs w:val="28"/>
              </w:rPr>
            </w:pPr>
          </w:p>
        </w:tc>
      </w:tr>
    </w:tbl>
    <w:p w14:paraId="47EA26F1" w14:textId="77777777" w:rsidR="00AC5FEB" w:rsidRPr="00595649" w:rsidRDefault="00AC5FEB" w:rsidP="00FC73F6">
      <w:pPr>
        <w:autoSpaceDE w:val="0"/>
        <w:autoSpaceDN w:val="0"/>
        <w:adjustRightInd w:val="0"/>
        <w:rPr>
          <w:rFonts w:ascii="Arial" w:hAnsi="Arial" w:cs="Arial"/>
          <w:b/>
          <w:bCs/>
          <w:sz w:val="24"/>
          <w:szCs w:val="24"/>
        </w:rPr>
      </w:pPr>
      <w:r w:rsidRPr="00595649">
        <w:rPr>
          <w:rFonts w:ascii="Arial" w:hAnsi="Arial" w:cs="Arial"/>
          <w:b/>
          <w:bCs/>
          <w:sz w:val="24"/>
          <w:szCs w:val="24"/>
        </w:rPr>
        <w:t>POLICY STATEMENT</w:t>
      </w:r>
    </w:p>
    <w:p w14:paraId="7CE4D19A" w14:textId="77777777" w:rsidR="00AC5FEB" w:rsidRDefault="00AC5FEB" w:rsidP="0075211A">
      <w:pPr>
        <w:spacing w:before="100" w:beforeAutospacing="1"/>
        <w:jc w:val="both"/>
        <w:rPr>
          <w:rFonts w:ascii="Arial" w:eastAsia="Times New Roman" w:hAnsi="Arial" w:cs="Arial"/>
          <w:lang w:val="en" w:eastAsia="en-AU"/>
        </w:rPr>
      </w:pPr>
      <w:r w:rsidRPr="00956953">
        <w:rPr>
          <w:rFonts w:ascii="Arial" w:eastAsia="Times New Roman" w:hAnsi="Arial" w:cs="Arial"/>
          <w:lang w:val="en" w:eastAsia="en-AU"/>
        </w:rPr>
        <w:t xml:space="preserve">The policy </w:t>
      </w:r>
      <w:r>
        <w:rPr>
          <w:rFonts w:ascii="Arial" w:eastAsia="Times New Roman" w:hAnsi="Arial" w:cs="Arial"/>
          <w:lang w:val="en" w:eastAsia="en-AU"/>
        </w:rPr>
        <w:t xml:space="preserve">and procedure </w:t>
      </w:r>
      <w:r w:rsidRPr="00956953">
        <w:rPr>
          <w:rFonts w:ascii="Arial" w:eastAsia="Times New Roman" w:hAnsi="Arial" w:cs="Arial"/>
          <w:lang w:val="en" w:eastAsia="en-AU"/>
        </w:rPr>
        <w:t xml:space="preserve">outline the principles for the declaration and management of any actual, potential or perceived conflicts of interest by </w:t>
      </w:r>
      <w:r>
        <w:rPr>
          <w:rFonts w:ascii="Arial" w:eastAsia="Times New Roman" w:hAnsi="Arial" w:cs="Arial"/>
          <w:lang w:val="en" w:eastAsia="en-AU"/>
        </w:rPr>
        <w:t>Community Connection employees.</w:t>
      </w:r>
      <w:r w:rsidRPr="00956953">
        <w:rPr>
          <w:rFonts w:ascii="Arial" w:eastAsia="Times New Roman" w:hAnsi="Arial" w:cs="Arial"/>
          <w:lang w:val="en" w:eastAsia="en-AU"/>
        </w:rPr>
        <w:t xml:space="preserve"> </w:t>
      </w:r>
    </w:p>
    <w:p w14:paraId="7149E9EB" w14:textId="77777777" w:rsidR="00AC5FEB" w:rsidRPr="00956953" w:rsidRDefault="00AC5FEB" w:rsidP="0075211A">
      <w:pPr>
        <w:spacing w:before="100" w:beforeAutospacing="1" w:after="120"/>
        <w:jc w:val="both"/>
        <w:rPr>
          <w:rFonts w:ascii="Arial" w:eastAsia="Times New Roman" w:hAnsi="Arial" w:cs="Arial"/>
          <w:lang w:val="en" w:eastAsia="en-AU"/>
        </w:rPr>
      </w:pPr>
      <w:r w:rsidRPr="00956953">
        <w:rPr>
          <w:rFonts w:ascii="Arial" w:eastAsia="Times New Roman" w:hAnsi="Arial" w:cs="Arial"/>
          <w:lang w:val="en" w:eastAsia="en-AU"/>
        </w:rPr>
        <w:t xml:space="preserve">All </w:t>
      </w:r>
      <w:r>
        <w:rPr>
          <w:rFonts w:ascii="Arial" w:eastAsia="Times New Roman" w:hAnsi="Arial" w:cs="Arial"/>
          <w:lang w:val="en" w:eastAsia="en-AU"/>
        </w:rPr>
        <w:t>employees</w:t>
      </w:r>
      <w:r w:rsidRPr="00956953">
        <w:rPr>
          <w:rFonts w:ascii="Arial" w:eastAsia="Times New Roman" w:hAnsi="Arial" w:cs="Arial"/>
          <w:lang w:val="en" w:eastAsia="en-AU"/>
        </w:rPr>
        <w:t xml:space="preserve"> when performing their duties are required to act in good faith towards the </w:t>
      </w:r>
      <w:r>
        <w:rPr>
          <w:rFonts w:ascii="Arial" w:eastAsia="Times New Roman" w:hAnsi="Arial" w:cs="Arial"/>
          <w:lang w:val="en" w:eastAsia="en-AU"/>
        </w:rPr>
        <w:t>organisation</w:t>
      </w:r>
      <w:r w:rsidRPr="00956953">
        <w:rPr>
          <w:rFonts w:ascii="Arial" w:eastAsia="Times New Roman" w:hAnsi="Arial" w:cs="Arial"/>
          <w:lang w:val="en" w:eastAsia="en-AU"/>
        </w:rPr>
        <w:t xml:space="preserve"> and where conflicts of interest do arise, to manage those conflicts appropriately in accordance with these principles:</w:t>
      </w:r>
    </w:p>
    <w:p w14:paraId="3B9FC8A5" w14:textId="77777777" w:rsidR="00AC5FEB" w:rsidRPr="00956953" w:rsidRDefault="00AC5FEB" w:rsidP="00FC73F6">
      <w:pPr>
        <w:numPr>
          <w:ilvl w:val="0"/>
          <w:numId w:val="9"/>
        </w:numPr>
        <w:spacing w:after="120"/>
        <w:ind w:left="493" w:hanging="357"/>
        <w:jc w:val="both"/>
        <w:rPr>
          <w:rFonts w:ascii="Arial" w:hAnsi="Arial" w:cs="Arial"/>
        </w:rPr>
      </w:pPr>
      <w:r w:rsidRPr="00956953">
        <w:rPr>
          <w:rFonts w:ascii="Arial" w:hAnsi="Arial" w:cs="Arial"/>
        </w:rPr>
        <w:t xml:space="preserve">to protect </w:t>
      </w:r>
      <w:r>
        <w:rPr>
          <w:rFonts w:ascii="Arial" w:hAnsi="Arial" w:cs="Arial"/>
        </w:rPr>
        <w:t>Community Connection’s</w:t>
      </w:r>
      <w:r w:rsidRPr="00956953">
        <w:rPr>
          <w:rFonts w:ascii="Arial" w:hAnsi="Arial" w:cs="Arial"/>
        </w:rPr>
        <w:t xml:space="preserve"> interest ensuring that all decision making is impartial and objective;</w:t>
      </w:r>
    </w:p>
    <w:p w14:paraId="7BE1278C" w14:textId="77777777" w:rsidR="00AC5FEB" w:rsidRPr="00956953" w:rsidRDefault="00AC5FEB" w:rsidP="00FC73F6">
      <w:pPr>
        <w:numPr>
          <w:ilvl w:val="0"/>
          <w:numId w:val="9"/>
        </w:numPr>
        <w:spacing w:after="120"/>
        <w:ind w:left="493" w:hanging="357"/>
        <w:jc w:val="both"/>
        <w:rPr>
          <w:rFonts w:ascii="Arial" w:hAnsi="Arial" w:cs="Arial"/>
        </w:rPr>
      </w:pPr>
      <w:r w:rsidRPr="00956953">
        <w:rPr>
          <w:rFonts w:ascii="Arial" w:hAnsi="Arial" w:cs="Arial"/>
        </w:rPr>
        <w:t xml:space="preserve">to protect the reputation of </w:t>
      </w:r>
      <w:r>
        <w:rPr>
          <w:rFonts w:ascii="Arial" w:hAnsi="Arial" w:cs="Arial"/>
        </w:rPr>
        <w:t>Community Connection</w:t>
      </w:r>
      <w:r w:rsidRPr="00956953">
        <w:rPr>
          <w:rFonts w:ascii="Arial" w:hAnsi="Arial" w:cs="Arial"/>
        </w:rPr>
        <w:t xml:space="preserve"> by maintaining ethical standards of good judgement, fairness and integrity in all its dealings;</w:t>
      </w:r>
    </w:p>
    <w:p w14:paraId="07B71C40" w14:textId="77777777" w:rsidR="00AC5FEB" w:rsidRPr="00956953" w:rsidRDefault="00AC5FEB" w:rsidP="00FC73F6">
      <w:pPr>
        <w:numPr>
          <w:ilvl w:val="0"/>
          <w:numId w:val="9"/>
        </w:numPr>
        <w:spacing w:after="120"/>
        <w:ind w:left="493" w:hanging="357"/>
        <w:jc w:val="both"/>
        <w:rPr>
          <w:rFonts w:ascii="Arial" w:hAnsi="Arial" w:cs="Arial"/>
        </w:rPr>
      </w:pPr>
      <w:r w:rsidRPr="00956953">
        <w:rPr>
          <w:rFonts w:ascii="Arial" w:hAnsi="Arial" w:cs="Arial"/>
        </w:rPr>
        <w:t>to ensure that employees always observe the highest standard of professional ethical conduct;</w:t>
      </w:r>
      <w:r>
        <w:rPr>
          <w:rFonts w:ascii="Arial" w:hAnsi="Arial" w:cs="Arial"/>
        </w:rPr>
        <w:t xml:space="preserve"> and</w:t>
      </w:r>
    </w:p>
    <w:p w14:paraId="16C3766E" w14:textId="77777777" w:rsidR="00AC5FEB" w:rsidRPr="00956953" w:rsidRDefault="00AC5FEB" w:rsidP="0075211A">
      <w:pPr>
        <w:numPr>
          <w:ilvl w:val="0"/>
          <w:numId w:val="9"/>
        </w:numPr>
        <w:ind w:left="493" w:hanging="357"/>
        <w:jc w:val="both"/>
        <w:rPr>
          <w:rFonts w:ascii="Arial" w:hAnsi="Arial" w:cs="Arial"/>
        </w:rPr>
      </w:pPr>
      <w:r w:rsidRPr="00956953">
        <w:rPr>
          <w:rFonts w:ascii="Arial" w:hAnsi="Arial" w:cs="Arial"/>
        </w:rPr>
        <w:t>to avoid any activity or interest that might reflect unfavourably upon a</w:t>
      </w:r>
      <w:r>
        <w:rPr>
          <w:rFonts w:ascii="Arial" w:hAnsi="Arial" w:cs="Arial"/>
        </w:rPr>
        <w:t>n employee’s</w:t>
      </w:r>
      <w:r w:rsidRPr="00956953">
        <w:rPr>
          <w:rFonts w:ascii="Arial" w:hAnsi="Arial" w:cs="Arial"/>
        </w:rPr>
        <w:t xml:space="preserve"> own integrity and good name, or upon the integrity and good name of </w:t>
      </w:r>
      <w:r>
        <w:rPr>
          <w:rFonts w:ascii="Arial" w:hAnsi="Arial" w:cs="Arial"/>
        </w:rPr>
        <w:t>the organisation.</w:t>
      </w:r>
    </w:p>
    <w:p w14:paraId="63A30FC2" w14:textId="77777777" w:rsidR="00AC5FEB" w:rsidRPr="00956953" w:rsidRDefault="00AC5FEB" w:rsidP="0075211A">
      <w:pPr>
        <w:spacing w:before="100" w:beforeAutospacing="1"/>
        <w:jc w:val="both"/>
        <w:outlineLvl w:val="3"/>
        <w:rPr>
          <w:rFonts w:ascii="Arial" w:eastAsia="Times New Roman" w:hAnsi="Arial" w:cs="Arial"/>
          <w:i/>
          <w:lang w:val="en" w:eastAsia="en-AU"/>
        </w:rPr>
      </w:pPr>
      <w:r w:rsidRPr="00956953">
        <w:rPr>
          <w:rFonts w:ascii="Arial" w:eastAsia="Times New Roman" w:hAnsi="Arial" w:cs="Arial"/>
          <w:i/>
          <w:lang w:val="en" w:eastAsia="en-AU"/>
        </w:rPr>
        <w:t>Identifying Conflicts of Interest</w:t>
      </w:r>
    </w:p>
    <w:p w14:paraId="01A06F5B" w14:textId="77777777" w:rsidR="00AC5FEB" w:rsidRPr="00956953" w:rsidRDefault="00AC5FEB" w:rsidP="00FC73F6">
      <w:pPr>
        <w:spacing w:before="100" w:beforeAutospacing="1" w:after="100" w:afterAutospacing="1"/>
        <w:jc w:val="both"/>
        <w:outlineLvl w:val="4"/>
        <w:rPr>
          <w:rFonts w:ascii="Arial" w:eastAsia="Times New Roman" w:hAnsi="Arial" w:cs="Arial"/>
          <w:i/>
          <w:lang w:val="en" w:eastAsia="en-AU"/>
        </w:rPr>
      </w:pPr>
      <w:r w:rsidRPr="00956953">
        <w:rPr>
          <w:rFonts w:ascii="Arial" w:eastAsia="Times New Roman" w:hAnsi="Arial" w:cs="Arial"/>
          <w:i/>
          <w:lang w:val="en" w:eastAsia="en-AU"/>
        </w:rPr>
        <w:t>General Conflicts of Interest</w:t>
      </w:r>
    </w:p>
    <w:p w14:paraId="02DC9C6D" w14:textId="77777777" w:rsidR="00AC5FEB" w:rsidRPr="00956953" w:rsidRDefault="00AC5FEB" w:rsidP="0075211A">
      <w:pPr>
        <w:spacing w:before="100" w:beforeAutospacing="1" w:after="120"/>
        <w:jc w:val="both"/>
        <w:rPr>
          <w:rFonts w:ascii="Arial" w:eastAsia="Times New Roman" w:hAnsi="Arial" w:cs="Arial"/>
          <w:lang w:val="en" w:eastAsia="en-AU"/>
        </w:rPr>
      </w:pPr>
      <w:r w:rsidRPr="00956953">
        <w:rPr>
          <w:rFonts w:ascii="Arial" w:eastAsia="Times New Roman" w:hAnsi="Arial" w:cs="Arial"/>
          <w:lang w:val="en" w:eastAsia="en-AU"/>
        </w:rPr>
        <w:t>Whilst it is not possible to set out a definitive list of instances, conflicts may arise through:</w:t>
      </w:r>
    </w:p>
    <w:p w14:paraId="6469B513"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Pr>
          <w:rFonts w:ascii="Arial" w:eastAsia="Times New Roman" w:hAnsi="Arial" w:cs="Arial"/>
          <w:lang w:val="en" w:eastAsia="en-AU"/>
        </w:rPr>
        <w:t>C</w:t>
      </w:r>
      <w:r w:rsidRPr="00956953">
        <w:rPr>
          <w:rFonts w:ascii="Arial" w:eastAsia="Times New Roman" w:hAnsi="Arial" w:cs="Arial"/>
          <w:lang w:val="en" w:eastAsia="en-AU"/>
        </w:rPr>
        <w:t xml:space="preserve">onflict of roles - Where </w:t>
      </w:r>
      <w:r>
        <w:rPr>
          <w:rFonts w:ascii="Arial" w:eastAsia="Times New Roman" w:hAnsi="Arial" w:cs="Arial"/>
          <w:lang w:val="en" w:eastAsia="en-AU"/>
        </w:rPr>
        <w:t>employees</w:t>
      </w:r>
      <w:r w:rsidRPr="00956953">
        <w:rPr>
          <w:rFonts w:ascii="Arial" w:eastAsia="Times New Roman" w:hAnsi="Arial" w:cs="Arial"/>
          <w:lang w:val="en" w:eastAsia="en-AU"/>
        </w:rPr>
        <w:t xml:space="preserve"> hav</w:t>
      </w:r>
      <w:r>
        <w:rPr>
          <w:rFonts w:ascii="Arial" w:eastAsia="Times New Roman" w:hAnsi="Arial" w:cs="Arial"/>
          <w:lang w:val="en" w:eastAsia="en-AU"/>
        </w:rPr>
        <w:t>e a similar role</w:t>
      </w:r>
      <w:r w:rsidRPr="00956953">
        <w:rPr>
          <w:rFonts w:ascii="Arial" w:eastAsia="Times New Roman" w:hAnsi="Arial" w:cs="Arial"/>
          <w:lang w:val="en" w:eastAsia="en-AU"/>
        </w:rPr>
        <w:t xml:space="preserve"> in a different organisation, it may be difficult to keep their roles separate;</w:t>
      </w:r>
    </w:p>
    <w:p w14:paraId="46547713"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Pr>
          <w:rFonts w:ascii="Arial" w:eastAsia="Times New Roman" w:hAnsi="Arial" w:cs="Arial"/>
          <w:lang w:val="en" w:eastAsia="en-AU"/>
        </w:rPr>
        <w:t>P</w:t>
      </w:r>
      <w:r w:rsidRPr="00956953">
        <w:rPr>
          <w:rFonts w:ascii="Arial" w:eastAsia="Times New Roman" w:hAnsi="Arial" w:cs="Arial"/>
          <w:lang w:val="en" w:eastAsia="en-AU"/>
        </w:rPr>
        <w:t>rivate interests - A conflict of interest can arise from avoiding personal losses as well as gaining personal advantage;</w:t>
      </w:r>
    </w:p>
    <w:p w14:paraId="3168E4FA"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Pr>
          <w:rFonts w:ascii="Arial" w:eastAsia="Times New Roman" w:hAnsi="Arial" w:cs="Arial"/>
          <w:lang w:val="en" w:eastAsia="en-AU"/>
        </w:rPr>
        <w:t>P</w:t>
      </w:r>
      <w:r w:rsidRPr="00956953">
        <w:rPr>
          <w:rFonts w:ascii="Arial" w:eastAsia="Times New Roman" w:hAnsi="Arial" w:cs="Arial"/>
          <w:lang w:val="en" w:eastAsia="en-AU"/>
        </w:rPr>
        <w:t xml:space="preserve">ersonal relationships - </w:t>
      </w:r>
      <w:r>
        <w:rPr>
          <w:rFonts w:ascii="Arial" w:eastAsia="Times New Roman" w:hAnsi="Arial" w:cs="Arial"/>
          <w:lang w:val="en" w:eastAsia="en-AU"/>
        </w:rPr>
        <w:t>Employees</w:t>
      </w:r>
      <w:r w:rsidRPr="00956953">
        <w:rPr>
          <w:rFonts w:ascii="Arial" w:eastAsia="Times New Roman" w:hAnsi="Arial" w:cs="Arial"/>
          <w:lang w:val="en" w:eastAsia="en-AU"/>
        </w:rPr>
        <w:t xml:space="preserve"> should not be involved in decisions affecting the employment of a person with whom the </w:t>
      </w:r>
      <w:r>
        <w:rPr>
          <w:rFonts w:ascii="Arial" w:eastAsia="Times New Roman" w:hAnsi="Arial" w:cs="Arial"/>
          <w:lang w:val="en" w:eastAsia="en-AU"/>
        </w:rPr>
        <w:t>employee</w:t>
      </w:r>
      <w:r w:rsidRPr="00956953">
        <w:rPr>
          <w:rFonts w:ascii="Arial" w:eastAsia="Times New Roman" w:hAnsi="Arial" w:cs="Arial"/>
          <w:lang w:val="en" w:eastAsia="en-AU"/>
        </w:rPr>
        <w:t xml:space="preserve"> has a current or previous personal relationship; or</w:t>
      </w:r>
    </w:p>
    <w:p w14:paraId="202512D4"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Pr>
          <w:rFonts w:ascii="Arial" w:eastAsia="Times New Roman" w:hAnsi="Arial" w:cs="Arial"/>
          <w:lang w:val="en" w:eastAsia="en-AU"/>
        </w:rPr>
        <w:t>P</w:t>
      </w:r>
      <w:r w:rsidRPr="00956953">
        <w:rPr>
          <w:rFonts w:ascii="Arial" w:eastAsia="Times New Roman" w:hAnsi="Arial" w:cs="Arial"/>
          <w:lang w:val="en" w:eastAsia="en-AU"/>
        </w:rPr>
        <w:t>ersonal benefits - A conflict of interest may occur where a</w:t>
      </w:r>
      <w:r>
        <w:rPr>
          <w:rFonts w:ascii="Arial" w:eastAsia="Times New Roman" w:hAnsi="Arial" w:cs="Arial"/>
          <w:lang w:val="en" w:eastAsia="en-AU"/>
        </w:rPr>
        <w:t>n employee</w:t>
      </w:r>
      <w:r w:rsidRPr="00956953">
        <w:rPr>
          <w:rFonts w:ascii="Arial" w:eastAsia="Times New Roman" w:hAnsi="Arial" w:cs="Arial"/>
          <w:lang w:val="en" w:eastAsia="en-AU"/>
        </w:rPr>
        <w:t xml:space="preserve"> receives a benefit which is, or may be perceived as, an incentive or inducement to perform </w:t>
      </w:r>
      <w:r>
        <w:rPr>
          <w:rFonts w:ascii="Arial" w:eastAsia="Times New Roman" w:hAnsi="Arial" w:cs="Arial"/>
          <w:lang w:val="en" w:eastAsia="en-AU"/>
        </w:rPr>
        <w:t>tasks which are outside of their position description.</w:t>
      </w:r>
    </w:p>
    <w:p w14:paraId="495017D8" w14:textId="77777777" w:rsidR="00AC5FEB" w:rsidRPr="00956953" w:rsidRDefault="00AC5FEB" w:rsidP="00FC73F6">
      <w:pPr>
        <w:spacing w:after="120"/>
        <w:jc w:val="both"/>
        <w:outlineLvl w:val="4"/>
        <w:rPr>
          <w:rFonts w:ascii="Arial" w:eastAsia="Times New Roman" w:hAnsi="Arial" w:cs="Arial"/>
          <w:i/>
          <w:lang w:val="en" w:eastAsia="en-AU"/>
        </w:rPr>
      </w:pPr>
      <w:r w:rsidRPr="00956953">
        <w:rPr>
          <w:rFonts w:ascii="Arial" w:eastAsia="Times New Roman" w:hAnsi="Arial" w:cs="Arial"/>
          <w:i/>
          <w:lang w:val="en" w:eastAsia="en-AU"/>
        </w:rPr>
        <w:t>Areas of High Risk</w:t>
      </w:r>
    </w:p>
    <w:p w14:paraId="20AFA897" w14:textId="77777777" w:rsidR="00AC5FEB" w:rsidRPr="00956953" w:rsidRDefault="00AC5FEB" w:rsidP="00FC73F6">
      <w:pPr>
        <w:spacing w:after="120"/>
        <w:jc w:val="both"/>
        <w:rPr>
          <w:rFonts w:ascii="Arial" w:eastAsia="Times New Roman" w:hAnsi="Arial" w:cs="Arial"/>
          <w:lang w:val="en" w:eastAsia="en-AU"/>
        </w:rPr>
      </w:pPr>
      <w:r w:rsidRPr="00956953">
        <w:rPr>
          <w:rFonts w:ascii="Arial" w:eastAsia="Times New Roman" w:hAnsi="Arial" w:cs="Arial"/>
          <w:lang w:val="en" w:eastAsia="en-AU"/>
        </w:rPr>
        <w:t>The following activities or actions are situations where actual, potential or perceived conflicts of interest may commonly arise:</w:t>
      </w:r>
    </w:p>
    <w:p w14:paraId="0DE36AA5" w14:textId="0943159E" w:rsidR="00AC5FEB" w:rsidRPr="00956953" w:rsidRDefault="00AC5FEB" w:rsidP="0075211A">
      <w:pPr>
        <w:numPr>
          <w:ilvl w:val="0"/>
          <w:numId w:val="23"/>
        </w:numPr>
        <w:tabs>
          <w:tab w:val="clear" w:pos="718"/>
        </w:tabs>
        <w:spacing w:before="100" w:beforeAutospacing="1" w:after="120"/>
        <w:ind w:left="426" w:hanging="284"/>
        <w:jc w:val="both"/>
        <w:rPr>
          <w:rFonts w:ascii="Helvetica" w:eastAsia="Times New Roman" w:hAnsi="Helvetica" w:cs="Arial"/>
          <w:lang w:val="en" w:eastAsia="en-AU"/>
        </w:rPr>
      </w:pPr>
      <w:r w:rsidRPr="00956953">
        <w:rPr>
          <w:rFonts w:ascii="Helvetica" w:eastAsia="Times New Roman" w:hAnsi="Helvetica" w:cs="Arial"/>
          <w:lang w:val="en" w:eastAsia="en-AU"/>
        </w:rPr>
        <w:t xml:space="preserve">Purchasing goods or services for </w:t>
      </w:r>
      <w:r>
        <w:rPr>
          <w:rFonts w:ascii="Helvetica" w:eastAsia="Times New Roman" w:hAnsi="Helvetica" w:cs="Arial"/>
          <w:lang w:val="en" w:eastAsia="en-AU"/>
        </w:rPr>
        <w:t>Community Connection</w:t>
      </w:r>
      <w:r w:rsidRPr="00956953">
        <w:rPr>
          <w:rFonts w:ascii="Helvetica" w:eastAsia="Times New Roman" w:hAnsi="Helvetica" w:cs="Arial"/>
          <w:lang w:val="en" w:eastAsia="en-AU"/>
        </w:rPr>
        <w:t xml:space="preserve"> where the decision maker has</w:t>
      </w:r>
      <w:r w:rsidR="0075211A">
        <w:rPr>
          <w:rFonts w:ascii="Helvetica" w:eastAsia="Times New Roman" w:hAnsi="Helvetica" w:cs="Arial"/>
          <w:lang w:val="en" w:eastAsia="en-AU"/>
        </w:rPr>
        <w:t xml:space="preserve"> </w:t>
      </w:r>
      <w:r w:rsidRPr="00956953">
        <w:rPr>
          <w:rFonts w:ascii="Helvetica" w:eastAsia="Times New Roman" w:hAnsi="Helvetica" w:cs="Arial"/>
          <w:lang w:val="en" w:eastAsia="en-AU"/>
        </w:rPr>
        <w:t>a relationship with the supplier or an employee of the supplier;</w:t>
      </w:r>
    </w:p>
    <w:p w14:paraId="687F01D9" w14:textId="77777777" w:rsidR="00AC5FEB" w:rsidRPr="00956953" w:rsidRDefault="00AC5FEB" w:rsidP="0075211A">
      <w:pPr>
        <w:numPr>
          <w:ilvl w:val="0"/>
          <w:numId w:val="9"/>
        </w:numPr>
        <w:spacing w:after="120"/>
        <w:ind w:left="426" w:hanging="284"/>
        <w:jc w:val="both"/>
        <w:rPr>
          <w:rFonts w:ascii="Arial" w:eastAsia="Times New Roman" w:hAnsi="Arial" w:cs="Arial"/>
          <w:lang w:val="en" w:eastAsia="en-AU"/>
        </w:rPr>
      </w:pPr>
      <w:r w:rsidRPr="00956953">
        <w:rPr>
          <w:rFonts w:ascii="Arial" w:eastAsia="Times New Roman" w:hAnsi="Arial" w:cs="Arial"/>
          <w:lang w:val="en" w:eastAsia="en-AU"/>
        </w:rPr>
        <w:t>Decisions regarding recruitment, appointment, promotion or other personnel where personal relationships exists with one or more party/s;</w:t>
      </w:r>
    </w:p>
    <w:p w14:paraId="6B76CDBA" w14:textId="77777777" w:rsidR="00AC5FEB" w:rsidRPr="00956953" w:rsidRDefault="00AC5FEB" w:rsidP="0075211A">
      <w:pPr>
        <w:numPr>
          <w:ilvl w:val="0"/>
          <w:numId w:val="9"/>
        </w:numPr>
        <w:spacing w:after="120"/>
        <w:ind w:left="426" w:hanging="290"/>
        <w:jc w:val="both"/>
        <w:rPr>
          <w:rFonts w:ascii="Arial" w:eastAsia="Times New Roman" w:hAnsi="Arial" w:cs="Arial"/>
          <w:lang w:val="en" w:eastAsia="en-AU"/>
        </w:rPr>
      </w:pPr>
      <w:r>
        <w:rPr>
          <w:rFonts w:ascii="Arial" w:eastAsia="Times New Roman" w:hAnsi="Arial" w:cs="Arial"/>
          <w:lang w:val="en" w:eastAsia="en-AU"/>
        </w:rPr>
        <w:lastRenderedPageBreak/>
        <w:t>Being provided i</w:t>
      </w:r>
      <w:r w:rsidRPr="00956953">
        <w:rPr>
          <w:rFonts w:ascii="Arial" w:eastAsia="Times New Roman" w:hAnsi="Arial" w:cs="Arial"/>
          <w:lang w:val="en" w:eastAsia="en-AU"/>
        </w:rPr>
        <w:t xml:space="preserve">nappropriate access to, or use of, </w:t>
      </w:r>
      <w:r>
        <w:rPr>
          <w:rFonts w:ascii="Arial" w:eastAsia="Times New Roman" w:hAnsi="Arial" w:cs="Arial"/>
          <w:lang w:val="en" w:eastAsia="en-AU"/>
        </w:rPr>
        <w:t>Community Connection</w:t>
      </w:r>
      <w:r w:rsidRPr="00956953">
        <w:rPr>
          <w:rFonts w:ascii="Arial" w:eastAsia="Times New Roman" w:hAnsi="Arial" w:cs="Arial"/>
          <w:lang w:val="en" w:eastAsia="en-AU"/>
        </w:rPr>
        <w:t xml:space="preserve"> documents and information obtained in the course of employment;</w:t>
      </w:r>
    </w:p>
    <w:p w14:paraId="47BF47FD" w14:textId="77777777" w:rsidR="00AC5FEB" w:rsidRPr="00956953" w:rsidRDefault="00AC5FEB" w:rsidP="0075211A">
      <w:pPr>
        <w:numPr>
          <w:ilvl w:val="0"/>
          <w:numId w:val="9"/>
        </w:numPr>
        <w:spacing w:after="120"/>
        <w:ind w:left="426" w:hanging="290"/>
        <w:jc w:val="both"/>
        <w:rPr>
          <w:rFonts w:ascii="Arial" w:eastAsia="Times New Roman" w:hAnsi="Arial" w:cs="Arial"/>
          <w:lang w:val="en" w:eastAsia="en-AU"/>
        </w:rPr>
      </w:pPr>
      <w:r w:rsidRPr="00956953">
        <w:rPr>
          <w:rFonts w:ascii="Arial" w:eastAsia="Times New Roman" w:hAnsi="Arial" w:cs="Arial"/>
          <w:lang w:val="en" w:eastAsia="en-AU"/>
        </w:rPr>
        <w:t xml:space="preserve">Inappropriate use of intellectual property including but not limited to misuse of intellectual property rights by </w:t>
      </w:r>
      <w:r>
        <w:rPr>
          <w:rFonts w:ascii="Arial" w:eastAsia="Times New Roman" w:hAnsi="Arial" w:cs="Arial"/>
          <w:lang w:val="en" w:eastAsia="en-AU"/>
        </w:rPr>
        <w:t>employees</w:t>
      </w:r>
      <w:r w:rsidRPr="00956953">
        <w:rPr>
          <w:rFonts w:ascii="Arial" w:eastAsia="Times New Roman" w:hAnsi="Arial" w:cs="Arial"/>
          <w:lang w:val="en" w:eastAsia="en-AU"/>
        </w:rPr>
        <w:t>;</w:t>
      </w:r>
    </w:p>
    <w:p w14:paraId="103992A6" w14:textId="77777777" w:rsidR="00AC5FEB" w:rsidRPr="00956953" w:rsidRDefault="00AC5FEB" w:rsidP="0075211A">
      <w:pPr>
        <w:numPr>
          <w:ilvl w:val="0"/>
          <w:numId w:val="9"/>
        </w:numPr>
        <w:spacing w:after="120"/>
        <w:ind w:left="426" w:hanging="290"/>
        <w:jc w:val="both"/>
        <w:rPr>
          <w:rFonts w:ascii="Helvetica" w:eastAsia="Times New Roman" w:hAnsi="Helvetica" w:cs="Arial"/>
          <w:lang w:val="en" w:eastAsia="en-AU"/>
        </w:rPr>
      </w:pPr>
      <w:r w:rsidRPr="00956953">
        <w:rPr>
          <w:rFonts w:ascii="Arial" w:eastAsia="Times New Roman" w:hAnsi="Arial" w:cs="Arial"/>
          <w:lang w:val="en" w:eastAsia="en-AU"/>
        </w:rPr>
        <w:t xml:space="preserve">Inappropriate use </w:t>
      </w:r>
      <w:r>
        <w:rPr>
          <w:rFonts w:ascii="Arial" w:eastAsia="Times New Roman" w:hAnsi="Arial" w:cs="Arial"/>
          <w:lang w:val="en" w:eastAsia="en-AU"/>
        </w:rPr>
        <w:t>of Community Connection</w:t>
      </w:r>
      <w:r w:rsidRPr="00956953">
        <w:rPr>
          <w:rFonts w:ascii="Arial" w:eastAsia="Times New Roman" w:hAnsi="Arial" w:cs="Arial"/>
          <w:lang w:val="en" w:eastAsia="en-AU"/>
        </w:rPr>
        <w:t xml:space="preserve"> resources and/or equipment for personal benefit</w:t>
      </w:r>
      <w:r w:rsidRPr="00956953">
        <w:rPr>
          <w:rFonts w:ascii="Helvetica" w:eastAsia="Times New Roman" w:hAnsi="Helvetica" w:cs="Arial"/>
          <w:lang w:val="en" w:eastAsia="en-AU"/>
        </w:rPr>
        <w:t xml:space="preserve"> or the benefit of a third party.</w:t>
      </w:r>
    </w:p>
    <w:p w14:paraId="0BBBA6B3" w14:textId="77777777" w:rsidR="00AC5FEB" w:rsidRPr="00956953" w:rsidRDefault="00AC5FEB" w:rsidP="00FC73F6">
      <w:pPr>
        <w:spacing w:after="120"/>
        <w:jc w:val="both"/>
        <w:outlineLvl w:val="4"/>
        <w:rPr>
          <w:rFonts w:ascii="Arial" w:eastAsia="Times New Roman" w:hAnsi="Arial" w:cs="Arial"/>
          <w:i/>
          <w:lang w:val="en" w:eastAsia="en-AU"/>
        </w:rPr>
      </w:pPr>
      <w:r w:rsidRPr="002B30D0">
        <w:rPr>
          <w:rFonts w:ascii="Arial" w:eastAsia="Times New Roman" w:hAnsi="Arial" w:cs="Arial"/>
          <w:i/>
          <w:lang w:val="en" w:eastAsia="en-AU"/>
        </w:rPr>
        <w:t>Employees</w:t>
      </w:r>
      <w:r w:rsidRPr="00956953">
        <w:rPr>
          <w:rFonts w:ascii="Arial" w:eastAsia="Times New Roman" w:hAnsi="Arial" w:cs="Arial"/>
          <w:i/>
          <w:lang w:val="en" w:eastAsia="en-AU"/>
        </w:rPr>
        <w:t xml:space="preserve"> and Conflicts of Interest</w:t>
      </w:r>
    </w:p>
    <w:p w14:paraId="38F6E3F0" w14:textId="77777777" w:rsidR="00AC5FEB" w:rsidRPr="00956953" w:rsidRDefault="00AC5FEB" w:rsidP="00FC73F6">
      <w:pPr>
        <w:spacing w:after="120"/>
        <w:jc w:val="both"/>
        <w:rPr>
          <w:rFonts w:ascii="Helvetica" w:eastAsia="Times New Roman" w:hAnsi="Helvetica" w:cs="Arial"/>
          <w:lang w:val="en" w:eastAsia="en-AU"/>
        </w:rPr>
      </w:pPr>
      <w:r>
        <w:rPr>
          <w:rFonts w:ascii="Helvetica" w:eastAsia="Times New Roman" w:hAnsi="Helvetica" w:cs="Arial"/>
          <w:lang w:val="en" w:eastAsia="en-AU"/>
        </w:rPr>
        <w:t xml:space="preserve">Community Connection </w:t>
      </w:r>
      <w:r w:rsidRPr="00956953">
        <w:rPr>
          <w:rFonts w:ascii="Helvetica" w:eastAsia="Times New Roman" w:hAnsi="Helvetica" w:cs="Arial"/>
          <w:lang w:val="en" w:eastAsia="en-AU"/>
        </w:rPr>
        <w:t>has identified the following circumstances as being indicative of circumstances which will or may give rise to potential or actual conflicts of interest requiring disclosure under this Policy:</w:t>
      </w:r>
    </w:p>
    <w:p w14:paraId="72934FE4" w14:textId="77777777" w:rsidR="00AC5FEB" w:rsidRPr="00956953" w:rsidRDefault="00AC5FEB" w:rsidP="00AB7535">
      <w:pPr>
        <w:numPr>
          <w:ilvl w:val="0"/>
          <w:numId w:val="24"/>
        </w:numPr>
        <w:tabs>
          <w:tab w:val="clear" w:pos="720"/>
          <w:tab w:val="num" w:pos="426"/>
        </w:tabs>
        <w:spacing w:after="120"/>
        <w:ind w:left="855" w:hanging="713"/>
        <w:jc w:val="both"/>
        <w:rPr>
          <w:rFonts w:ascii="Helvetica" w:eastAsia="Times New Roman" w:hAnsi="Helvetica" w:cs="Arial"/>
          <w:lang w:val="en" w:eastAsia="en-AU"/>
        </w:rPr>
      </w:pPr>
      <w:bookmarkStart w:id="0" w:name="_GoBack"/>
      <w:bookmarkEnd w:id="0"/>
      <w:r w:rsidRPr="00956953">
        <w:rPr>
          <w:rFonts w:ascii="Helvetica" w:eastAsia="Times New Roman" w:hAnsi="Helvetica" w:cs="Arial"/>
          <w:lang w:val="en" w:eastAsia="en-AU"/>
        </w:rPr>
        <w:t>Outside interests including but not restricted to:</w:t>
      </w:r>
    </w:p>
    <w:p w14:paraId="186CD8A3" w14:textId="77777777" w:rsidR="00AC5FEB" w:rsidRDefault="00AC5FEB" w:rsidP="00FC73F6">
      <w:pPr>
        <w:pStyle w:val="ListParagraph"/>
        <w:numPr>
          <w:ilvl w:val="0"/>
          <w:numId w:val="25"/>
        </w:numPr>
        <w:spacing w:after="120"/>
        <w:ind w:left="1418" w:hanging="425"/>
        <w:jc w:val="both"/>
        <w:rPr>
          <w:rFonts w:ascii="Helvetica" w:eastAsia="Times New Roman" w:hAnsi="Helvetica" w:cs="Arial"/>
          <w:lang w:val="en" w:eastAsia="en-AU"/>
        </w:rPr>
      </w:pPr>
      <w:r w:rsidRPr="00B03D9D">
        <w:rPr>
          <w:rFonts w:ascii="Helvetica" w:eastAsia="Times New Roman" w:hAnsi="Helvetica" w:cs="Arial"/>
          <w:lang w:val="en" w:eastAsia="en-AU"/>
        </w:rPr>
        <w:t xml:space="preserve">A contract, consultancy or transaction between </w:t>
      </w:r>
      <w:r>
        <w:rPr>
          <w:rFonts w:ascii="Helvetica" w:eastAsia="Times New Roman" w:hAnsi="Helvetica" w:cs="Arial"/>
          <w:lang w:val="en" w:eastAsia="en-AU"/>
        </w:rPr>
        <w:t>Community Connection and a</w:t>
      </w:r>
      <w:r w:rsidRPr="00B03D9D">
        <w:rPr>
          <w:rFonts w:ascii="Helvetica" w:eastAsia="Times New Roman" w:hAnsi="Helvetica" w:cs="Arial"/>
          <w:lang w:val="en" w:eastAsia="en-AU"/>
        </w:rPr>
        <w:t xml:space="preserve"> family member</w:t>
      </w:r>
      <w:r>
        <w:rPr>
          <w:rFonts w:ascii="Helvetica" w:eastAsia="Times New Roman" w:hAnsi="Helvetica" w:cs="Arial"/>
          <w:lang w:val="en" w:eastAsia="en-AU"/>
        </w:rPr>
        <w:t>;</w:t>
      </w:r>
      <w:r w:rsidRPr="00B03D9D">
        <w:rPr>
          <w:rFonts w:ascii="Helvetica" w:eastAsia="Times New Roman" w:hAnsi="Helvetica" w:cs="Arial"/>
          <w:lang w:val="en" w:eastAsia="en-AU"/>
        </w:rPr>
        <w:t xml:space="preserve"> </w:t>
      </w:r>
    </w:p>
    <w:p w14:paraId="22BFB3F7" w14:textId="77777777" w:rsidR="00AC5FEB" w:rsidRPr="00B03D9D" w:rsidRDefault="00AC5FEB" w:rsidP="00FC73F6">
      <w:pPr>
        <w:pStyle w:val="ListParagraph"/>
        <w:spacing w:after="120"/>
        <w:ind w:left="1418"/>
        <w:jc w:val="both"/>
        <w:rPr>
          <w:rFonts w:ascii="Helvetica" w:eastAsia="Times New Roman" w:hAnsi="Helvetica" w:cs="Arial"/>
          <w:lang w:val="en" w:eastAsia="en-AU"/>
        </w:rPr>
      </w:pPr>
    </w:p>
    <w:p w14:paraId="2F67E0E6" w14:textId="77777777" w:rsidR="00AC5FEB" w:rsidRDefault="00AC5FEB" w:rsidP="00FC73F6">
      <w:pPr>
        <w:pStyle w:val="ListParagraph"/>
        <w:numPr>
          <w:ilvl w:val="0"/>
          <w:numId w:val="25"/>
        </w:numPr>
        <w:spacing w:after="120"/>
        <w:ind w:left="1418" w:hanging="425"/>
        <w:jc w:val="both"/>
        <w:rPr>
          <w:rFonts w:ascii="Helvetica" w:eastAsia="Times New Roman" w:hAnsi="Helvetica" w:cs="Arial"/>
          <w:lang w:val="en" w:eastAsia="en-AU"/>
        </w:rPr>
      </w:pPr>
      <w:r w:rsidRPr="00956953">
        <w:rPr>
          <w:rFonts w:ascii="Helvetica" w:eastAsia="Times New Roman" w:hAnsi="Helvetica" w:cs="Arial"/>
          <w:lang w:val="en" w:eastAsia="en-AU"/>
        </w:rPr>
        <w:t>A personal relationship with a</w:t>
      </w:r>
      <w:r w:rsidRPr="00B03D9D">
        <w:rPr>
          <w:rFonts w:ascii="Helvetica" w:eastAsia="Times New Roman" w:hAnsi="Helvetica" w:cs="Arial"/>
          <w:lang w:val="en" w:eastAsia="en-AU"/>
        </w:rPr>
        <w:t xml:space="preserve"> fellow co-worker</w:t>
      </w:r>
      <w:r w:rsidRPr="00956953">
        <w:rPr>
          <w:rFonts w:ascii="Helvetica" w:eastAsia="Times New Roman" w:hAnsi="Helvetica" w:cs="Arial"/>
          <w:lang w:val="en" w:eastAsia="en-AU"/>
        </w:rPr>
        <w:t xml:space="preserve"> of </w:t>
      </w:r>
      <w:r w:rsidRPr="00B03D9D">
        <w:rPr>
          <w:rFonts w:ascii="Helvetica" w:eastAsia="Times New Roman" w:hAnsi="Helvetica" w:cs="Arial"/>
          <w:lang w:val="en" w:eastAsia="en-AU"/>
        </w:rPr>
        <w:t>Community Connection</w:t>
      </w:r>
      <w:r w:rsidRPr="00956953">
        <w:rPr>
          <w:rFonts w:ascii="Helvetica" w:eastAsia="Times New Roman" w:hAnsi="Helvetica" w:cs="Arial"/>
          <w:lang w:val="en" w:eastAsia="en-AU"/>
        </w:rPr>
        <w:t xml:space="preserve"> where a decision affects or is likely to affect that person;</w:t>
      </w:r>
    </w:p>
    <w:p w14:paraId="3F2BAD0C" w14:textId="77777777" w:rsidR="00AC5FEB" w:rsidRPr="00956953" w:rsidRDefault="00AC5FEB" w:rsidP="00FC73F6">
      <w:pPr>
        <w:pStyle w:val="ListParagraph"/>
        <w:spacing w:after="120"/>
        <w:ind w:left="1418"/>
        <w:jc w:val="both"/>
        <w:rPr>
          <w:rFonts w:ascii="Helvetica" w:eastAsia="Times New Roman" w:hAnsi="Helvetica" w:cs="Arial"/>
          <w:lang w:val="en" w:eastAsia="en-AU"/>
        </w:rPr>
      </w:pPr>
    </w:p>
    <w:p w14:paraId="099A88DE" w14:textId="77777777" w:rsidR="00AC5FEB" w:rsidRPr="00956953" w:rsidRDefault="00AC5FEB" w:rsidP="00FC73F6">
      <w:pPr>
        <w:pStyle w:val="ListParagraph"/>
        <w:numPr>
          <w:ilvl w:val="0"/>
          <w:numId w:val="25"/>
        </w:numPr>
        <w:spacing w:after="120"/>
        <w:ind w:left="1418" w:hanging="425"/>
        <w:jc w:val="both"/>
        <w:rPr>
          <w:rFonts w:ascii="Helvetica" w:eastAsia="Times New Roman" w:hAnsi="Helvetica" w:cs="Arial"/>
          <w:lang w:val="en" w:eastAsia="en-AU"/>
        </w:rPr>
      </w:pPr>
      <w:r w:rsidRPr="00956953">
        <w:rPr>
          <w:rFonts w:ascii="Helvetica" w:eastAsia="Times New Roman" w:hAnsi="Helvetica" w:cs="Arial"/>
          <w:lang w:val="en" w:eastAsia="en-AU"/>
        </w:rPr>
        <w:t xml:space="preserve">Gifts, gratuities and entertainment e.g. received from a third party who has, or may reasonably be considered to have, an interest in the outcome of a decision of </w:t>
      </w:r>
      <w:r w:rsidRPr="00B03D9D">
        <w:rPr>
          <w:rFonts w:ascii="Helvetica" w:eastAsia="Times New Roman" w:hAnsi="Helvetica" w:cs="Arial"/>
          <w:lang w:val="en" w:eastAsia="en-AU"/>
        </w:rPr>
        <w:t>Community Connection.</w:t>
      </w:r>
    </w:p>
    <w:p w14:paraId="08816885" w14:textId="77777777" w:rsidR="00AC5FEB" w:rsidRPr="00956953" w:rsidRDefault="00AC5FEB" w:rsidP="00FC73F6">
      <w:pPr>
        <w:spacing w:after="120"/>
        <w:jc w:val="both"/>
        <w:outlineLvl w:val="3"/>
        <w:rPr>
          <w:rFonts w:ascii="Arial" w:eastAsia="Times New Roman" w:hAnsi="Arial" w:cs="Arial"/>
          <w:i/>
          <w:lang w:val="en" w:eastAsia="en-AU"/>
        </w:rPr>
      </w:pPr>
      <w:r w:rsidRPr="00956953">
        <w:rPr>
          <w:rFonts w:ascii="Arial" w:eastAsia="Times New Roman" w:hAnsi="Arial" w:cs="Arial"/>
          <w:i/>
          <w:lang w:val="en" w:eastAsia="en-AU"/>
        </w:rPr>
        <w:t>Avoidance and Disclosure of a Conflict of Interest</w:t>
      </w:r>
    </w:p>
    <w:p w14:paraId="67936ECF" w14:textId="77777777" w:rsidR="00AC5FEB" w:rsidRPr="00956953" w:rsidRDefault="00AC5FEB" w:rsidP="00FC73F6">
      <w:pPr>
        <w:spacing w:after="120"/>
        <w:jc w:val="both"/>
        <w:rPr>
          <w:rFonts w:ascii="Arial" w:eastAsia="Times New Roman" w:hAnsi="Arial" w:cs="Arial"/>
          <w:lang w:val="en" w:eastAsia="en-AU"/>
        </w:rPr>
      </w:pPr>
      <w:r w:rsidRPr="00956953">
        <w:rPr>
          <w:rFonts w:ascii="Arial" w:eastAsia="Times New Roman" w:hAnsi="Arial" w:cs="Arial"/>
          <w:lang w:val="en" w:eastAsia="en-AU"/>
        </w:rPr>
        <w:t xml:space="preserve">Where any actual, perceived or potential conflict of interest cannot be avoided, </w:t>
      </w:r>
      <w:r>
        <w:rPr>
          <w:rFonts w:ascii="Arial" w:eastAsia="Times New Roman" w:hAnsi="Arial" w:cs="Arial"/>
          <w:lang w:val="en" w:eastAsia="en-AU"/>
        </w:rPr>
        <w:t>the Operations Manager and/or the Strategic Manager</w:t>
      </w:r>
      <w:r w:rsidRPr="00956953">
        <w:rPr>
          <w:rFonts w:ascii="Arial" w:eastAsia="Times New Roman" w:hAnsi="Arial" w:cs="Arial"/>
          <w:lang w:val="en" w:eastAsia="en-AU"/>
        </w:rPr>
        <w:t xml:space="preserve"> is obligated to recognise, declare and manage situations involving conflicts of interest.</w:t>
      </w:r>
    </w:p>
    <w:p w14:paraId="1E0EF9C1" w14:textId="77777777" w:rsidR="00AC5FEB" w:rsidRPr="00956953" w:rsidRDefault="00AC5FEB" w:rsidP="00FC73F6">
      <w:pPr>
        <w:spacing w:after="120"/>
        <w:jc w:val="both"/>
        <w:rPr>
          <w:rFonts w:ascii="Arial" w:eastAsia="Times New Roman" w:hAnsi="Arial" w:cs="Arial"/>
          <w:i/>
          <w:lang w:val="en" w:eastAsia="en-AU"/>
        </w:rPr>
      </w:pPr>
      <w:r w:rsidRPr="00956953">
        <w:rPr>
          <w:rFonts w:ascii="Arial" w:eastAsia="Times New Roman" w:hAnsi="Arial" w:cs="Arial"/>
          <w:i/>
          <w:lang w:val="en" w:eastAsia="en-AU"/>
        </w:rPr>
        <w:t xml:space="preserve">All </w:t>
      </w:r>
      <w:r w:rsidRPr="002B51D7">
        <w:rPr>
          <w:rFonts w:ascii="Arial" w:eastAsia="Times New Roman" w:hAnsi="Arial" w:cs="Arial"/>
          <w:i/>
          <w:lang w:val="en" w:eastAsia="en-AU"/>
        </w:rPr>
        <w:t>Employees of Community Connection are to:</w:t>
      </w:r>
    </w:p>
    <w:p w14:paraId="3F9032EF"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sidRPr="00956953">
        <w:rPr>
          <w:rFonts w:ascii="Arial" w:eastAsia="Times New Roman" w:hAnsi="Arial" w:cs="Arial"/>
          <w:lang w:val="en" w:eastAsia="en-AU"/>
        </w:rPr>
        <w:t xml:space="preserve">Follow the ethical standards of conduct expected of </w:t>
      </w:r>
      <w:r>
        <w:rPr>
          <w:rFonts w:ascii="Arial" w:eastAsia="Times New Roman" w:hAnsi="Arial" w:cs="Arial"/>
          <w:lang w:val="en" w:eastAsia="en-AU"/>
        </w:rPr>
        <w:t>Community Connection</w:t>
      </w:r>
      <w:r w:rsidRPr="00956953">
        <w:rPr>
          <w:rFonts w:ascii="Arial" w:eastAsia="Times New Roman" w:hAnsi="Arial" w:cs="Arial"/>
          <w:lang w:val="en" w:eastAsia="en-AU"/>
        </w:rPr>
        <w:t xml:space="preserve"> as set out in </w:t>
      </w:r>
      <w:r>
        <w:rPr>
          <w:rFonts w:ascii="Arial" w:eastAsia="Times New Roman" w:hAnsi="Arial" w:cs="Arial"/>
          <w:lang w:val="en" w:eastAsia="en-AU"/>
        </w:rPr>
        <w:t xml:space="preserve">Policy HR001.23 - </w:t>
      </w:r>
      <w:r w:rsidRPr="00956953">
        <w:rPr>
          <w:rFonts w:ascii="Arial" w:eastAsia="Times New Roman" w:hAnsi="Arial" w:cs="Arial"/>
          <w:lang w:val="en" w:eastAsia="en-AU"/>
        </w:rPr>
        <w:t xml:space="preserve">Code of </w:t>
      </w:r>
      <w:r>
        <w:rPr>
          <w:rFonts w:ascii="Arial" w:eastAsia="Times New Roman" w:hAnsi="Arial" w:cs="Arial"/>
          <w:lang w:val="en" w:eastAsia="en-AU"/>
        </w:rPr>
        <w:t xml:space="preserve">Conduct, </w:t>
      </w:r>
      <w:r w:rsidRPr="00956953">
        <w:rPr>
          <w:rFonts w:ascii="Arial" w:eastAsia="Times New Roman" w:hAnsi="Arial" w:cs="Arial"/>
          <w:lang w:val="en" w:eastAsia="en-AU"/>
        </w:rPr>
        <w:t>as appropriate;</w:t>
      </w:r>
    </w:p>
    <w:p w14:paraId="19FEE227"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sidRPr="00956953">
        <w:rPr>
          <w:rFonts w:ascii="Arial" w:eastAsia="Times New Roman" w:hAnsi="Arial" w:cs="Arial"/>
          <w:lang w:val="en" w:eastAsia="en-AU"/>
        </w:rPr>
        <w:t xml:space="preserve">Restrict the extent to which a </w:t>
      </w:r>
      <w:r>
        <w:rPr>
          <w:rFonts w:ascii="Arial" w:eastAsia="Times New Roman" w:hAnsi="Arial" w:cs="Arial"/>
          <w:lang w:val="en" w:eastAsia="en-AU"/>
        </w:rPr>
        <w:t xml:space="preserve">third-party </w:t>
      </w:r>
      <w:r w:rsidRPr="00956953">
        <w:rPr>
          <w:rFonts w:ascii="Arial" w:eastAsia="Times New Roman" w:hAnsi="Arial" w:cs="Arial"/>
          <w:lang w:val="en" w:eastAsia="en-AU"/>
        </w:rPr>
        <w:t xml:space="preserve">interest could compromise, or be seen to compromise, their impartiality when carrying out their </w:t>
      </w:r>
      <w:r>
        <w:rPr>
          <w:rFonts w:ascii="Arial" w:eastAsia="Times New Roman" w:hAnsi="Arial" w:cs="Arial"/>
          <w:lang w:val="en" w:eastAsia="en-AU"/>
        </w:rPr>
        <w:t>role as per the Position Description;</w:t>
      </w:r>
    </w:p>
    <w:p w14:paraId="6236B826" w14:textId="77777777" w:rsidR="00AC5FEB" w:rsidRPr="00956953" w:rsidRDefault="00AC5FEB" w:rsidP="00FC73F6">
      <w:pPr>
        <w:numPr>
          <w:ilvl w:val="0"/>
          <w:numId w:val="9"/>
        </w:numPr>
        <w:spacing w:after="120"/>
        <w:ind w:left="493" w:hanging="357"/>
        <w:jc w:val="both"/>
        <w:rPr>
          <w:rFonts w:ascii="Helvetica" w:eastAsia="Times New Roman" w:hAnsi="Helvetica" w:cs="Arial"/>
          <w:lang w:val="en" w:eastAsia="en-AU"/>
        </w:rPr>
      </w:pPr>
      <w:r w:rsidRPr="00956953">
        <w:rPr>
          <w:rFonts w:ascii="Helvetica" w:eastAsia="Times New Roman" w:hAnsi="Helvetica" w:cs="Arial"/>
          <w:lang w:val="en" w:eastAsia="en-AU"/>
        </w:rPr>
        <w:t>Avoid action in which the</w:t>
      </w:r>
      <w:r>
        <w:rPr>
          <w:rFonts w:ascii="Helvetica" w:eastAsia="Times New Roman" w:hAnsi="Helvetica" w:cs="Arial"/>
          <w:lang w:val="en" w:eastAsia="en-AU"/>
        </w:rPr>
        <w:t xml:space="preserve"> employee</w:t>
      </w:r>
      <w:r w:rsidRPr="00956953">
        <w:rPr>
          <w:rFonts w:ascii="Helvetica" w:eastAsia="Times New Roman" w:hAnsi="Helvetica" w:cs="Arial"/>
          <w:lang w:val="en" w:eastAsia="en-AU"/>
        </w:rPr>
        <w:t xml:space="preserve"> could be seen to have an improper advantage from confidential/privileged information they might have access to because of their </w:t>
      </w:r>
      <w:r>
        <w:rPr>
          <w:rFonts w:ascii="Helvetica" w:eastAsia="Times New Roman" w:hAnsi="Helvetica" w:cs="Arial"/>
          <w:lang w:val="en" w:eastAsia="en-AU"/>
        </w:rPr>
        <w:t>role with Community Connection;</w:t>
      </w:r>
    </w:p>
    <w:p w14:paraId="68437CAB"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sidRPr="00956953">
        <w:rPr>
          <w:rFonts w:ascii="Arial" w:eastAsia="Times New Roman" w:hAnsi="Arial" w:cs="Arial"/>
          <w:lang w:val="en" w:eastAsia="en-AU"/>
        </w:rPr>
        <w:t xml:space="preserve">Ensure that </w:t>
      </w:r>
      <w:r>
        <w:rPr>
          <w:rFonts w:ascii="Arial" w:eastAsia="Times New Roman" w:hAnsi="Arial" w:cs="Arial"/>
          <w:lang w:val="en" w:eastAsia="en-AU"/>
        </w:rPr>
        <w:t xml:space="preserve">any employee from Community Connection </w:t>
      </w:r>
      <w:r w:rsidRPr="00956953">
        <w:rPr>
          <w:rFonts w:ascii="Arial" w:eastAsia="Times New Roman" w:hAnsi="Arial" w:cs="Arial"/>
          <w:lang w:val="en" w:eastAsia="en-AU"/>
        </w:rPr>
        <w:t>do</w:t>
      </w:r>
      <w:r>
        <w:rPr>
          <w:rFonts w:ascii="Arial" w:eastAsia="Times New Roman" w:hAnsi="Arial" w:cs="Arial"/>
          <w:lang w:val="en" w:eastAsia="en-AU"/>
        </w:rPr>
        <w:t>es</w:t>
      </w:r>
      <w:r w:rsidRPr="00956953">
        <w:rPr>
          <w:rFonts w:ascii="Arial" w:eastAsia="Times New Roman" w:hAnsi="Arial" w:cs="Arial"/>
          <w:lang w:val="en" w:eastAsia="en-AU"/>
        </w:rPr>
        <w:t xml:space="preserve"> not use their position or </w:t>
      </w:r>
      <w:r>
        <w:rPr>
          <w:rFonts w:ascii="Arial" w:eastAsia="Times New Roman" w:hAnsi="Arial" w:cs="Arial"/>
          <w:lang w:val="en" w:eastAsia="en-AU"/>
        </w:rPr>
        <w:t>the organisation’s</w:t>
      </w:r>
      <w:r w:rsidRPr="00956953">
        <w:rPr>
          <w:rFonts w:ascii="Arial" w:eastAsia="Times New Roman" w:hAnsi="Arial" w:cs="Arial"/>
          <w:lang w:val="en" w:eastAsia="en-AU"/>
        </w:rPr>
        <w:t xml:space="preserve"> resources for private personal gain or gain by others with whom the </w:t>
      </w:r>
      <w:r>
        <w:rPr>
          <w:rFonts w:ascii="Arial" w:eastAsia="Times New Roman" w:hAnsi="Arial" w:cs="Arial"/>
          <w:lang w:val="en" w:eastAsia="en-AU"/>
        </w:rPr>
        <w:t>employee</w:t>
      </w:r>
      <w:r w:rsidRPr="00956953">
        <w:rPr>
          <w:rFonts w:ascii="Arial" w:eastAsia="Times New Roman" w:hAnsi="Arial" w:cs="Arial"/>
          <w:lang w:val="en" w:eastAsia="en-AU"/>
        </w:rPr>
        <w:t xml:space="preserve"> has a relationship or personal association;</w:t>
      </w:r>
    </w:p>
    <w:p w14:paraId="0012976C"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sidRPr="00956953">
        <w:rPr>
          <w:rFonts w:ascii="Arial" w:eastAsia="Times New Roman" w:hAnsi="Arial" w:cs="Arial"/>
          <w:lang w:val="en" w:eastAsia="en-AU"/>
        </w:rPr>
        <w:t xml:space="preserve">Ensure that there can be no perception that they have received an improper benefit that may influence the performance of their </w:t>
      </w:r>
      <w:r>
        <w:rPr>
          <w:rFonts w:ascii="Arial" w:eastAsia="Times New Roman" w:hAnsi="Arial" w:cs="Arial"/>
          <w:lang w:val="en" w:eastAsia="en-AU"/>
        </w:rPr>
        <w:t>position title</w:t>
      </w:r>
      <w:r w:rsidRPr="00956953">
        <w:rPr>
          <w:rFonts w:ascii="Arial" w:eastAsia="Times New Roman" w:hAnsi="Arial" w:cs="Arial"/>
          <w:lang w:val="en" w:eastAsia="en-AU"/>
        </w:rPr>
        <w:t>; and</w:t>
      </w:r>
    </w:p>
    <w:p w14:paraId="6447C1E7" w14:textId="77777777" w:rsidR="00AC5FEB" w:rsidRPr="00956953" w:rsidRDefault="00AC5FEB" w:rsidP="00FC73F6">
      <w:pPr>
        <w:numPr>
          <w:ilvl w:val="0"/>
          <w:numId w:val="9"/>
        </w:numPr>
        <w:spacing w:after="120"/>
        <w:ind w:left="493" w:hanging="357"/>
        <w:jc w:val="both"/>
        <w:rPr>
          <w:rFonts w:ascii="Arial" w:eastAsia="Times New Roman" w:hAnsi="Arial" w:cs="Arial"/>
          <w:lang w:val="en" w:eastAsia="en-AU"/>
        </w:rPr>
      </w:pPr>
      <w:r w:rsidRPr="00956953">
        <w:rPr>
          <w:rFonts w:ascii="Arial" w:eastAsia="Times New Roman" w:hAnsi="Arial" w:cs="Arial"/>
          <w:lang w:val="en" w:eastAsia="en-AU"/>
        </w:rPr>
        <w:t xml:space="preserve">Ensure </w:t>
      </w:r>
      <w:r>
        <w:rPr>
          <w:rFonts w:ascii="Arial" w:eastAsia="Times New Roman" w:hAnsi="Arial" w:cs="Arial"/>
          <w:lang w:val="en" w:eastAsia="en-AU"/>
        </w:rPr>
        <w:t>employees</w:t>
      </w:r>
      <w:r w:rsidRPr="00956953">
        <w:rPr>
          <w:rFonts w:ascii="Arial" w:eastAsia="Times New Roman" w:hAnsi="Arial" w:cs="Arial"/>
          <w:lang w:val="en" w:eastAsia="en-AU"/>
        </w:rPr>
        <w:t xml:space="preserve"> do not take improper advantage of their position </w:t>
      </w:r>
      <w:r>
        <w:rPr>
          <w:rFonts w:ascii="Arial" w:eastAsia="Times New Roman" w:hAnsi="Arial" w:cs="Arial"/>
          <w:lang w:val="en" w:eastAsia="en-AU"/>
        </w:rPr>
        <w:t xml:space="preserve">title </w:t>
      </w:r>
      <w:r w:rsidRPr="00956953">
        <w:rPr>
          <w:rFonts w:ascii="Arial" w:eastAsia="Times New Roman" w:hAnsi="Arial" w:cs="Arial"/>
          <w:lang w:val="en" w:eastAsia="en-AU"/>
        </w:rPr>
        <w:t xml:space="preserve">or confidential/privileged information gained in that position when seeking employment outside </w:t>
      </w:r>
      <w:r>
        <w:rPr>
          <w:rFonts w:ascii="Arial" w:eastAsia="Times New Roman" w:hAnsi="Arial" w:cs="Arial"/>
          <w:lang w:val="en" w:eastAsia="en-AU"/>
        </w:rPr>
        <w:t xml:space="preserve">of Community </w:t>
      </w:r>
      <w:proofErr w:type="gramStart"/>
      <w:r>
        <w:rPr>
          <w:rFonts w:ascii="Arial" w:eastAsia="Times New Roman" w:hAnsi="Arial" w:cs="Arial"/>
          <w:lang w:val="en" w:eastAsia="en-AU"/>
        </w:rPr>
        <w:t>Connection</w:t>
      </w:r>
      <w:r w:rsidRPr="00956953">
        <w:rPr>
          <w:rFonts w:ascii="Arial" w:eastAsia="Times New Roman" w:hAnsi="Arial" w:cs="Arial"/>
          <w:lang w:val="en" w:eastAsia="en-AU"/>
        </w:rPr>
        <w:t>, or</w:t>
      </w:r>
      <w:proofErr w:type="gramEnd"/>
      <w:r w:rsidRPr="00956953">
        <w:rPr>
          <w:rFonts w:ascii="Arial" w:eastAsia="Times New Roman" w:hAnsi="Arial" w:cs="Arial"/>
          <w:lang w:val="en" w:eastAsia="en-AU"/>
        </w:rPr>
        <w:t xml:space="preserve"> provide such advantage to others with whom they have an association.</w:t>
      </w:r>
    </w:p>
    <w:p w14:paraId="2FE6B98D" w14:textId="77777777" w:rsidR="00AC5FEB" w:rsidRPr="00956953" w:rsidRDefault="00AC5FEB" w:rsidP="00FC73F6">
      <w:pPr>
        <w:spacing w:after="120"/>
        <w:jc w:val="both"/>
        <w:outlineLvl w:val="3"/>
        <w:rPr>
          <w:rFonts w:ascii="Arial" w:eastAsia="Times New Roman" w:hAnsi="Arial" w:cs="Arial"/>
          <w:i/>
          <w:lang w:val="en" w:eastAsia="en-AU"/>
        </w:rPr>
      </w:pPr>
      <w:r w:rsidRPr="00956953">
        <w:rPr>
          <w:rFonts w:ascii="Arial" w:eastAsia="Times New Roman" w:hAnsi="Arial" w:cs="Arial"/>
          <w:i/>
          <w:lang w:val="en" w:eastAsia="en-AU"/>
        </w:rPr>
        <w:t>Managing a Conflict of Interest</w:t>
      </w:r>
    </w:p>
    <w:p w14:paraId="41691649"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956953">
        <w:rPr>
          <w:rFonts w:ascii="Arial" w:eastAsia="Times New Roman" w:hAnsi="Arial" w:cs="Arial"/>
          <w:lang w:val="en" w:eastAsia="en-AU"/>
        </w:rPr>
        <w:t>A</w:t>
      </w:r>
      <w:r w:rsidRPr="004E2FBA">
        <w:rPr>
          <w:rFonts w:ascii="Arial" w:eastAsia="Times New Roman" w:hAnsi="Arial" w:cs="Arial"/>
          <w:lang w:val="en" w:eastAsia="en-AU"/>
        </w:rPr>
        <w:t xml:space="preserve">n </w:t>
      </w:r>
      <w:r w:rsidRPr="00FC73F6">
        <w:rPr>
          <w:rFonts w:ascii="Arial" w:eastAsia="Times New Roman" w:hAnsi="Arial" w:cs="Arial"/>
          <w:color w:val="000000" w:themeColor="text1"/>
          <w:lang w:val="en" w:eastAsia="en-AU"/>
        </w:rPr>
        <w:t>employee is to report the conflict in writing to their line manager using a Declaration of Conflict of Interest.  Where a conflict of interest arises during a meeting the employee is to declare the conflict verbally, which must be noted in the minutes of the meeting, and then subsequently in writing to their line manager using a Declaration of Conflict of Interest as soon as practicable after the meeting.</w:t>
      </w:r>
    </w:p>
    <w:p w14:paraId="7788D3F8"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lastRenderedPageBreak/>
        <w:t>A Conflict of Interest Register will be maintained by the Human Resource Coordinator. The register will contain copies of the Declaration of Conflict of Interest, with a signed copy placed on the employees personnel file. Access to the register is restricted to those employees who need it for official purposes.</w:t>
      </w:r>
    </w:p>
    <w:p w14:paraId="5738CF0C" w14:textId="77777777" w:rsidR="00AC5FEB" w:rsidRPr="00FC73F6" w:rsidRDefault="00AC5FEB" w:rsidP="00FC73F6">
      <w:pPr>
        <w:spacing w:after="120"/>
        <w:jc w:val="both"/>
        <w:rPr>
          <w:rFonts w:ascii="Arial" w:eastAsia="Times New Roman" w:hAnsi="Arial" w:cs="Arial"/>
          <w:i/>
          <w:color w:val="000000" w:themeColor="text1"/>
          <w:lang w:val="en" w:eastAsia="en-AU"/>
        </w:rPr>
      </w:pPr>
      <w:r w:rsidRPr="00FC73F6">
        <w:rPr>
          <w:rFonts w:ascii="Arial" w:eastAsia="Times New Roman" w:hAnsi="Arial" w:cs="Arial"/>
          <w:i/>
          <w:color w:val="000000" w:themeColor="text1"/>
          <w:lang w:val="en" w:eastAsia="en-AU"/>
        </w:rPr>
        <w:t>Confidentiality</w:t>
      </w:r>
    </w:p>
    <w:p w14:paraId="396BE63D"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 xml:space="preserve">Confidentiality </w:t>
      </w:r>
      <w:proofErr w:type="gramStart"/>
      <w:r w:rsidRPr="00FC73F6">
        <w:rPr>
          <w:rFonts w:ascii="Arial" w:eastAsia="Times New Roman" w:hAnsi="Arial" w:cs="Arial"/>
          <w:color w:val="000000" w:themeColor="text1"/>
          <w:lang w:val="en" w:eastAsia="en-AU"/>
        </w:rPr>
        <w:t>will be maintained at all times</w:t>
      </w:r>
      <w:proofErr w:type="gramEnd"/>
      <w:r w:rsidRPr="00FC73F6">
        <w:rPr>
          <w:rFonts w:ascii="Arial" w:eastAsia="Times New Roman" w:hAnsi="Arial" w:cs="Arial"/>
          <w:color w:val="000000" w:themeColor="text1"/>
          <w:lang w:val="en" w:eastAsia="en-AU"/>
        </w:rPr>
        <w:t xml:space="preserve"> by all persons involved in the notification and management of conflicts of interest to ensure that confidential disclosures are protected from misuse.</w:t>
      </w:r>
    </w:p>
    <w:p w14:paraId="7B6C74B1"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Community Connection acknowledges that employees may seek advice on matters relating to this policy from their Line Manager or the Human Resource Coordinator.</w:t>
      </w:r>
    </w:p>
    <w:p w14:paraId="0AC5B5E5"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Records of any notification of conflicts of interest will be maintained in an approved and secure recordkeeping system, in accordance with the Information Privacy Act 2009.</w:t>
      </w:r>
    </w:p>
    <w:p w14:paraId="5DDFD4F3" w14:textId="77777777" w:rsidR="00AC5FEB" w:rsidRPr="00FC73F6" w:rsidRDefault="00AC5FEB" w:rsidP="00FC73F6">
      <w:pPr>
        <w:spacing w:after="120"/>
        <w:jc w:val="both"/>
        <w:outlineLvl w:val="4"/>
        <w:rPr>
          <w:rFonts w:ascii="Arial" w:eastAsia="Times New Roman" w:hAnsi="Arial" w:cs="Arial"/>
          <w:i/>
          <w:color w:val="000000" w:themeColor="text1"/>
          <w:lang w:val="en" w:eastAsia="en-AU"/>
        </w:rPr>
      </w:pPr>
      <w:r w:rsidRPr="00FC73F6">
        <w:rPr>
          <w:rFonts w:ascii="Arial" w:eastAsia="Times New Roman" w:hAnsi="Arial" w:cs="Arial"/>
          <w:i/>
          <w:color w:val="000000" w:themeColor="text1"/>
          <w:lang w:val="en" w:eastAsia="en-AU"/>
        </w:rPr>
        <w:t>Principles</w:t>
      </w:r>
    </w:p>
    <w:p w14:paraId="6EF96868"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Community Connections will act in the way that is most likely to promote the organisation’s interests.  All employees must act in good faith in avoiding both actual or potential conflicts of interest and the perception, whether founded or not, of a conflict of interest between the interests of Community Connection and their own personal, professional and business interests.</w:t>
      </w:r>
    </w:p>
    <w:p w14:paraId="712760D4"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To this end:</w:t>
      </w:r>
    </w:p>
    <w:p w14:paraId="0EBA9962"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 xml:space="preserve">A Conflict of Interest Register will be maintained by the Human Resource Coordinator to record </w:t>
      </w:r>
      <w:proofErr w:type="gramStart"/>
      <w:r w:rsidRPr="00FC73F6">
        <w:rPr>
          <w:rFonts w:ascii="Arial" w:eastAsia="Times New Roman" w:hAnsi="Arial" w:cs="Arial"/>
          <w:color w:val="000000" w:themeColor="text1"/>
          <w:lang w:val="en" w:eastAsia="en-AU"/>
        </w:rPr>
        <w:t>all of</w:t>
      </w:r>
      <w:proofErr w:type="gramEnd"/>
      <w:r w:rsidRPr="00FC73F6">
        <w:rPr>
          <w:rFonts w:ascii="Arial" w:eastAsia="Times New Roman" w:hAnsi="Arial" w:cs="Arial"/>
          <w:color w:val="000000" w:themeColor="text1"/>
          <w:lang w:val="en" w:eastAsia="en-AU"/>
        </w:rPr>
        <w:t xml:space="preserve"> the relevant conflict of interests of employees;</w:t>
      </w:r>
    </w:p>
    <w:p w14:paraId="279AFB87"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All actual, potential or perceived conflicts of interest of employees must be declared by employees where any matter is discussed involving a relevant conflict;</w:t>
      </w:r>
    </w:p>
    <w:p w14:paraId="7FB022FC" w14:textId="77777777" w:rsidR="00AC5FEB" w:rsidRPr="00FC73F6" w:rsidRDefault="00AC5FEB" w:rsidP="00FC73F6">
      <w:pPr>
        <w:spacing w:before="100" w:beforeAutospacing="1" w:after="100" w:afterAutospacing="1"/>
        <w:jc w:val="both"/>
        <w:rPr>
          <w:rFonts w:ascii="Helvetica" w:eastAsia="Times New Roman" w:hAnsi="Helvetica" w:cs="Arial"/>
          <w:color w:val="000000" w:themeColor="text1"/>
          <w:lang w:val="en" w:eastAsia="en-AU"/>
        </w:rPr>
      </w:pPr>
      <w:r w:rsidRPr="00FC73F6">
        <w:rPr>
          <w:rFonts w:ascii="Helvetica" w:eastAsia="Times New Roman" w:hAnsi="Helvetica" w:cs="Arial"/>
          <w:color w:val="000000" w:themeColor="text1"/>
          <w:lang w:val="en" w:eastAsia="en-AU"/>
        </w:rPr>
        <w:t xml:space="preserve">Community Connection has adopted six major options for managing conflicts of interest </w:t>
      </w:r>
    </w:p>
    <w:p w14:paraId="233B1F8D"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Register: All conflicts of interest are registered regardless of the management strategies adopted;</w:t>
      </w:r>
    </w:p>
    <w:p w14:paraId="2E361D65"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Restrict: Restrictions are placed on an employees’ involvement in a matter (e.g. refraining from taking part in discussion and/or decision making; having restricted access to sensitive documents or confidential information);</w:t>
      </w:r>
    </w:p>
    <w:p w14:paraId="6D1275DE"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 xml:space="preserve">Recruit: A disinterested third party is used to oversee part or </w:t>
      </w:r>
      <w:proofErr w:type="gramStart"/>
      <w:r w:rsidRPr="00FC73F6">
        <w:rPr>
          <w:rFonts w:ascii="Arial" w:eastAsia="Times New Roman" w:hAnsi="Arial" w:cs="Arial"/>
          <w:color w:val="000000" w:themeColor="text1"/>
          <w:lang w:val="en" w:eastAsia="en-AU"/>
        </w:rPr>
        <w:t>all of</w:t>
      </w:r>
      <w:proofErr w:type="gramEnd"/>
      <w:r w:rsidRPr="00FC73F6">
        <w:rPr>
          <w:rFonts w:ascii="Arial" w:eastAsia="Times New Roman" w:hAnsi="Arial" w:cs="Arial"/>
          <w:color w:val="000000" w:themeColor="text1"/>
          <w:lang w:val="en" w:eastAsia="en-AU"/>
        </w:rPr>
        <w:t xml:space="preserve"> the process that deals with the matter;</w:t>
      </w:r>
    </w:p>
    <w:p w14:paraId="7840BF1B"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Remove: The employee removes themselves from any involvement in the matter (e.g. absenting oneself from discussion and decision making);</w:t>
      </w:r>
    </w:p>
    <w:p w14:paraId="66F05994"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Relinquish: The employee relinquishes the private interest that is creating the conflict; and/or</w:t>
      </w:r>
    </w:p>
    <w:p w14:paraId="2DA97CD3"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Resign: The employee resigns from their position or removes themselves from the matter/or the issue creating the conflict of interest.</w:t>
      </w:r>
    </w:p>
    <w:p w14:paraId="5A26805E"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Community Connection recognises that conflicts of interest do and will occur. This Policy deals only with how those conflicts are handled and the disclosure of interests, and actual, potential or perceived conflicts of interest.</w:t>
      </w:r>
    </w:p>
    <w:p w14:paraId="12178E90" w14:textId="77777777" w:rsidR="00AC5FEB" w:rsidRPr="00FC73F6" w:rsidRDefault="00AC5FEB" w:rsidP="0075211A">
      <w:pPr>
        <w:jc w:val="both"/>
        <w:outlineLvl w:val="4"/>
        <w:rPr>
          <w:rFonts w:ascii="Arial" w:eastAsia="Times New Roman" w:hAnsi="Arial" w:cs="Arial"/>
          <w:color w:val="000000" w:themeColor="text1"/>
          <w:lang w:val="en" w:eastAsia="en-AU"/>
        </w:rPr>
      </w:pPr>
    </w:p>
    <w:p w14:paraId="2CC4D9D2" w14:textId="77777777" w:rsidR="00AC5FEB" w:rsidRPr="00FC73F6" w:rsidRDefault="00AC5FEB" w:rsidP="00FC73F6">
      <w:pPr>
        <w:spacing w:after="120"/>
        <w:jc w:val="both"/>
        <w:outlineLvl w:val="4"/>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Framework</w:t>
      </w:r>
    </w:p>
    <w:p w14:paraId="16E506E9"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Each employee, must, upon appointment and during induction, be provided with a copy of this policy.</w:t>
      </w:r>
    </w:p>
    <w:p w14:paraId="6B46E645"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lastRenderedPageBreak/>
        <w:t>Employee Conflict of Interests Register must be held and maintained by the Human Resource Coordinator.</w:t>
      </w:r>
    </w:p>
    <w:p w14:paraId="19FCC5CD"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All entries in the Employee Conflict of Interests Register must be treated as highly confidential. No personal information will be disclosed except to the extent necessary to implement this Policy.</w:t>
      </w:r>
    </w:p>
    <w:p w14:paraId="113D1022" w14:textId="77777777" w:rsidR="00AC5FEB" w:rsidRPr="00FC73F6" w:rsidRDefault="00AC5FEB" w:rsidP="00FC73F6">
      <w:pPr>
        <w:numPr>
          <w:ilvl w:val="0"/>
          <w:numId w:val="9"/>
        </w:numPr>
        <w:spacing w:after="120"/>
        <w:ind w:left="493" w:hanging="357"/>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Employees have an ongoing obligation to notify their Line Manager or the Human Resource Coordinator of relevant interests or relationships as they arise that the employee becomes aware may reasonably be expected to be, or result in, a conflict of interest.</w:t>
      </w:r>
    </w:p>
    <w:p w14:paraId="6EA0A6D7" w14:textId="77777777" w:rsidR="00AC5FEB" w:rsidRPr="00FC73F6" w:rsidRDefault="00AC5FEB" w:rsidP="00FC73F6">
      <w:pPr>
        <w:spacing w:after="120"/>
        <w:jc w:val="both"/>
        <w:outlineLvl w:val="3"/>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Privacy</w:t>
      </w:r>
    </w:p>
    <w:p w14:paraId="242D72AE"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 xml:space="preserve">Recording and reporting conflicts of interest (actual, potential or perceived) may involve the collection, storage, use or disclosure of personal information. Any personal information collected, stored, used or disclosed under this Policy will be handled according to the </w:t>
      </w:r>
      <w:r w:rsidRPr="00FC73F6">
        <w:rPr>
          <w:rFonts w:ascii="Arial" w:eastAsia="Times New Roman" w:hAnsi="Arial" w:cs="Arial"/>
          <w:i/>
          <w:color w:val="000000" w:themeColor="text1"/>
          <w:lang w:val="en" w:eastAsia="en-AU"/>
        </w:rPr>
        <w:t>Retention and Disposal of Files and Electronic Records Policy and Procedure.</w:t>
      </w:r>
    </w:p>
    <w:p w14:paraId="7E953853" w14:textId="77777777" w:rsidR="00AC5FEB" w:rsidRPr="00FC73F6" w:rsidRDefault="00AC5FEB" w:rsidP="00FC73F6">
      <w:pPr>
        <w:spacing w:after="120"/>
        <w:jc w:val="both"/>
        <w:outlineLvl w:val="3"/>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Public Interest Disclosures</w:t>
      </w:r>
    </w:p>
    <w:p w14:paraId="3D9ED46B"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If an employee has knowledge that a conflict of interest may exist that may not have been disclosed, they should discuss the situation with their Line Manager or the Human Resource Coordinator.</w:t>
      </w:r>
    </w:p>
    <w:p w14:paraId="1147E7EA" w14:textId="77777777" w:rsidR="00AC5FEB" w:rsidRPr="00FC73F6" w:rsidRDefault="00AC5FEB" w:rsidP="00FC73F6">
      <w:pPr>
        <w:spacing w:after="120"/>
        <w:jc w:val="both"/>
        <w:outlineLvl w:val="3"/>
        <w:rPr>
          <w:rFonts w:ascii="Arial" w:eastAsia="Times New Roman" w:hAnsi="Arial" w:cs="Arial"/>
          <w:i/>
          <w:color w:val="000000" w:themeColor="text1"/>
          <w:lang w:val="en" w:eastAsia="en-AU"/>
        </w:rPr>
      </w:pPr>
      <w:r w:rsidRPr="00FC73F6">
        <w:rPr>
          <w:rFonts w:ascii="Arial" w:eastAsia="Times New Roman" w:hAnsi="Arial" w:cs="Arial"/>
          <w:i/>
          <w:color w:val="000000" w:themeColor="text1"/>
          <w:lang w:val="en" w:eastAsia="en-AU"/>
        </w:rPr>
        <w:t>Failure to Comply</w:t>
      </w:r>
    </w:p>
    <w:p w14:paraId="0E98A3B9" w14:textId="77777777" w:rsidR="00AC5FEB" w:rsidRPr="00FC73F6" w:rsidRDefault="00AC5FEB" w:rsidP="00FC73F6">
      <w:pPr>
        <w:spacing w:after="120"/>
        <w:jc w:val="both"/>
        <w:rPr>
          <w:rFonts w:ascii="Arial" w:eastAsia="Times New Roman" w:hAnsi="Arial" w:cs="Arial"/>
          <w:i/>
          <w:color w:val="000000" w:themeColor="text1"/>
          <w:lang w:val="en" w:eastAsia="en-AU"/>
        </w:rPr>
      </w:pPr>
      <w:r w:rsidRPr="00FC73F6">
        <w:rPr>
          <w:rFonts w:ascii="Arial" w:eastAsia="Times New Roman" w:hAnsi="Arial" w:cs="Arial"/>
          <w:color w:val="000000" w:themeColor="text1"/>
          <w:lang w:val="en" w:eastAsia="en-AU"/>
        </w:rPr>
        <w:t xml:space="preserve">A failure to comply with this Policy and any accompanying procedures may constitute a breach of Community Connection’s </w:t>
      </w:r>
      <w:r w:rsidRPr="00FC73F6">
        <w:rPr>
          <w:rFonts w:ascii="Arial" w:eastAsia="Times New Roman" w:hAnsi="Arial" w:cs="Arial"/>
          <w:i/>
          <w:color w:val="000000" w:themeColor="text1"/>
          <w:lang w:val="en" w:eastAsia="en-AU"/>
        </w:rPr>
        <w:t>Code of Conduct Policy and Procedure</w:t>
      </w:r>
      <w:r w:rsidRPr="00FC73F6">
        <w:rPr>
          <w:rFonts w:ascii="Arial" w:eastAsia="Times New Roman" w:hAnsi="Arial" w:cs="Arial"/>
          <w:color w:val="000000" w:themeColor="text1"/>
          <w:lang w:val="en" w:eastAsia="en-AU"/>
        </w:rPr>
        <w:t xml:space="preserve"> and may be dealt with as misconduct or serious misconduct in accordance with </w:t>
      </w:r>
      <w:r w:rsidRPr="00FC73F6">
        <w:rPr>
          <w:rFonts w:ascii="Arial" w:eastAsia="Times New Roman" w:hAnsi="Arial" w:cs="Arial"/>
          <w:i/>
          <w:color w:val="000000" w:themeColor="text1"/>
          <w:lang w:val="en" w:eastAsia="en-AU"/>
        </w:rPr>
        <w:t>Effective Complaint/Dispute Resolution Policy and Procedure.</w:t>
      </w:r>
    </w:p>
    <w:p w14:paraId="10CDAE07" w14:textId="77777777" w:rsidR="00AC5FEB" w:rsidRPr="00FC73F6" w:rsidRDefault="00AC5FEB" w:rsidP="00FC73F6">
      <w:pPr>
        <w:spacing w:after="120"/>
        <w:jc w:val="both"/>
        <w:rPr>
          <w:rFonts w:ascii="Arial" w:eastAsia="Times New Roman" w:hAnsi="Arial" w:cs="Arial"/>
          <w:b/>
          <w:color w:val="000000" w:themeColor="text1"/>
          <w:lang w:val="en" w:eastAsia="en-AU"/>
        </w:rPr>
      </w:pPr>
      <w:r w:rsidRPr="00FC73F6">
        <w:rPr>
          <w:rFonts w:ascii="Arial" w:eastAsia="Times New Roman" w:hAnsi="Arial" w:cs="Arial"/>
          <w:b/>
          <w:color w:val="000000" w:themeColor="text1"/>
          <w:lang w:val="en" w:eastAsia="en-AU"/>
        </w:rPr>
        <w:t>RESPONSIBILITY FOR IMPLEMENTING POLICY AND PROCEDURE</w:t>
      </w:r>
    </w:p>
    <w:p w14:paraId="3D99F066" w14:textId="77777777" w:rsidR="00AC5FEB" w:rsidRPr="00FC73F6" w:rsidRDefault="00AC5FEB" w:rsidP="00FC73F6">
      <w:pPr>
        <w:spacing w:after="120"/>
        <w:jc w:val="both"/>
        <w:rPr>
          <w:rFonts w:ascii="Arial" w:eastAsia="Times New Roman" w:hAnsi="Arial" w:cs="Arial"/>
          <w:color w:val="000000" w:themeColor="text1"/>
          <w:lang w:val="en" w:eastAsia="en-AU"/>
        </w:rPr>
      </w:pPr>
      <w:r w:rsidRPr="00FC73F6">
        <w:rPr>
          <w:rFonts w:ascii="Arial" w:eastAsia="Times New Roman" w:hAnsi="Arial" w:cs="Arial"/>
          <w:color w:val="000000" w:themeColor="text1"/>
          <w:lang w:val="en" w:eastAsia="en-AU"/>
        </w:rPr>
        <w:t>Board members and the Management Team</w:t>
      </w:r>
    </w:p>
    <w:p w14:paraId="55A85930" w14:textId="77777777" w:rsidR="00AC5FEB" w:rsidRPr="00FC73F6" w:rsidRDefault="00AC5FEB" w:rsidP="00FC73F6">
      <w:pPr>
        <w:spacing w:after="120"/>
        <w:jc w:val="both"/>
        <w:rPr>
          <w:rFonts w:ascii="Arial" w:eastAsia="Times New Roman" w:hAnsi="Arial" w:cs="Arial"/>
          <w:b/>
          <w:color w:val="000000" w:themeColor="text1"/>
          <w:lang w:val="en" w:eastAsia="en-AU"/>
        </w:rPr>
      </w:pPr>
      <w:r w:rsidRPr="00FC73F6">
        <w:rPr>
          <w:rFonts w:ascii="Arial" w:eastAsia="Times New Roman" w:hAnsi="Arial" w:cs="Arial"/>
          <w:b/>
          <w:color w:val="000000" w:themeColor="text1"/>
          <w:lang w:val="en" w:eastAsia="en-AU"/>
        </w:rPr>
        <w:t>RELATED POLICIES, PROCEDURES AND GUIDELINES</w:t>
      </w:r>
    </w:p>
    <w:p w14:paraId="36726200" w14:textId="77777777" w:rsidR="00AC5FEB" w:rsidRPr="00FC73F6" w:rsidRDefault="00AC5FEB" w:rsidP="00FC73F6">
      <w:pPr>
        <w:spacing w:after="120"/>
        <w:jc w:val="both"/>
        <w:rPr>
          <w:rFonts w:ascii="Arial" w:hAnsi="Arial" w:cs="Arial"/>
          <w:i/>
          <w:color w:val="000000" w:themeColor="text1"/>
        </w:rPr>
      </w:pPr>
      <w:r w:rsidRPr="00FC73F6">
        <w:rPr>
          <w:rFonts w:ascii="Arial" w:hAnsi="Arial" w:cs="Arial"/>
          <w:i/>
          <w:color w:val="000000" w:themeColor="text1"/>
        </w:rPr>
        <w:t>Human Services Quality Framework</w:t>
      </w:r>
    </w:p>
    <w:p w14:paraId="5D26727D" w14:textId="77777777" w:rsidR="00AC5FEB" w:rsidRPr="00FC73F6" w:rsidRDefault="00AC5FEB" w:rsidP="00FC73F6">
      <w:pPr>
        <w:spacing w:after="120"/>
        <w:jc w:val="both"/>
        <w:rPr>
          <w:rFonts w:ascii="Arial" w:hAnsi="Arial" w:cs="Arial"/>
          <w:color w:val="000000" w:themeColor="text1"/>
        </w:rPr>
      </w:pPr>
      <w:r w:rsidRPr="00FC73F6">
        <w:rPr>
          <w:rFonts w:ascii="Arial" w:hAnsi="Arial" w:cs="Arial"/>
          <w:color w:val="000000" w:themeColor="text1"/>
        </w:rPr>
        <w:t xml:space="preserve">Human Services Quality Standard 1 – Governance and Management </w:t>
      </w:r>
    </w:p>
    <w:p w14:paraId="2703131B"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 xml:space="preserve">Human Services Quality Standard 5 – Feedback, Complaints and Appeals </w:t>
      </w:r>
    </w:p>
    <w:p w14:paraId="3C00C9A7" w14:textId="77777777" w:rsidR="00AC5FEB" w:rsidRPr="00FC73F6" w:rsidRDefault="00AC5FEB" w:rsidP="00FC73F6">
      <w:pPr>
        <w:numPr>
          <w:ilvl w:val="0"/>
          <w:numId w:val="9"/>
        </w:numPr>
        <w:spacing w:after="120" w:line="259" w:lineRule="auto"/>
        <w:ind w:left="493" w:hanging="357"/>
        <w:jc w:val="both"/>
        <w:rPr>
          <w:rFonts w:ascii="Arial" w:eastAsia="Times New Roman" w:hAnsi="Arial" w:cs="Arial"/>
          <w:b/>
          <w:color w:val="000000" w:themeColor="text1"/>
          <w:lang w:val="en" w:eastAsia="en-AU"/>
        </w:rPr>
      </w:pPr>
      <w:r w:rsidRPr="00FC73F6">
        <w:rPr>
          <w:rFonts w:ascii="Arial" w:hAnsi="Arial" w:cs="Arial"/>
          <w:color w:val="000000" w:themeColor="text1"/>
        </w:rPr>
        <w:t>Human Services Quality Standard 6 – Human Resources</w:t>
      </w:r>
    </w:p>
    <w:p w14:paraId="0544D327"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HR001.4 – Dignity at Work</w:t>
      </w:r>
    </w:p>
    <w:p w14:paraId="3C653D95"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HR001.5 – Employee Grievances</w:t>
      </w:r>
    </w:p>
    <w:p w14:paraId="12F862BC"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HR001.6 – Employee Misconduct and Discipline</w:t>
      </w:r>
    </w:p>
    <w:p w14:paraId="5DF08576"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 xml:space="preserve">HR001.13 – Employee Privacy </w:t>
      </w:r>
    </w:p>
    <w:p w14:paraId="6F3CDE6D"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HR001.19 - Position Description and Position Title</w:t>
      </w:r>
    </w:p>
    <w:p w14:paraId="0D2DDE48" w14:textId="77777777" w:rsidR="00AC5FEB" w:rsidRPr="00FC73F6" w:rsidRDefault="00AC5FEB" w:rsidP="00FC73F6">
      <w:pPr>
        <w:numPr>
          <w:ilvl w:val="0"/>
          <w:numId w:val="9"/>
        </w:numPr>
        <w:spacing w:after="120" w:line="259" w:lineRule="auto"/>
        <w:ind w:left="493" w:hanging="357"/>
        <w:jc w:val="both"/>
        <w:rPr>
          <w:rFonts w:ascii="Arial" w:eastAsia="Times New Roman" w:hAnsi="Arial" w:cs="Arial"/>
          <w:b/>
          <w:color w:val="000000" w:themeColor="text1"/>
          <w:lang w:val="en" w:eastAsia="en-AU"/>
        </w:rPr>
      </w:pPr>
      <w:r w:rsidRPr="00FC73F6">
        <w:rPr>
          <w:rFonts w:ascii="Arial" w:hAnsi="Arial" w:cs="Arial"/>
          <w:color w:val="000000" w:themeColor="text1"/>
        </w:rPr>
        <w:t>HR001.20 – Code of Conduct</w:t>
      </w:r>
    </w:p>
    <w:p w14:paraId="486C80C8" w14:textId="5F58E0BE" w:rsidR="0075211A" w:rsidRDefault="0075211A">
      <w:pPr>
        <w:spacing w:after="160" w:line="259" w:lineRule="auto"/>
        <w:rPr>
          <w:rFonts w:ascii="Arial" w:eastAsia="Times New Roman" w:hAnsi="Arial" w:cs="Arial"/>
          <w:b/>
          <w:color w:val="000000" w:themeColor="text1"/>
          <w:lang w:val="en" w:eastAsia="en-AU"/>
        </w:rPr>
      </w:pPr>
      <w:r>
        <w:rPr>
          <w:rFonts w:ascii="Arial" w:eastAsia="Times New Roman" w:hAnsi="Arial" w:cs="Arial"/>
          <w:b/>
          <w:color w:val="000000" w:themeColor="text1"/>
          <w:lang w:val="en" w:eastAsia="en-AU"/>
        </w:rPr>
        <w:br w:type="page"/>
      </w:r>
    </w:p>
    <w:p w14:paraId="6FB2C405" w14:textId="77777777" w:rsidR="00AC5FEB" w:rsidRPr="00FC73F6" w:rsidRDefault="00AC5FEB" w:rsidP="00FC73F6">
      <w:pPr>
        <w:spacing w:after="120"/>
        <w:jc w:val="both"/>
        <w:rPr>
          <w:rFonts w:ascii="Arial" w:eastAsia="Times New Roman" w:hAnsi="Arial" w:cs="Arial"/>
          <w:b/>
          <w:color w:val="000000" w:themeColor="text1"/>
          <w:lang w:val="en" w:eastAsia="en-AU"/>
        </w:rPr>
      </w:pPr>
    </w:p>
    <w:p w14:paraId="0595489C" w14:textId="77777777" w:rsidR="00AC5FEB" w:rsidRPr="00FC73F6" w:rsidRDefault="00AC5FEB" w:rsidP="00FC73F6">
      <w:pPr>
        <w:spacing w:after="120"/>
        <w:jc w:val="both"/>
        <w:rPr>
          <w:rFonts w:ascii="Arial" w:eastAsia="Times New Roman" w:hAnsi="Arial" w:cs="Arial"/>
          <w:b/>
          <w:color w:val="000000" w:themeColor="text1"/>
          <w:lang w:val="en" w:eastAsia="en-AU"/>
        </w:rPr>
      </w:pPr>
      <w:r w:rsidRPr="00FC73F6">
        <w:rPr>
          <w:rFonts w:ascii="Arial" w:eastAsia="Times New Roman" w:hAnsi="Arial" w:cs="Arial"/>
          <w:b/>
          <w:color w:val="000000" w:themeColor="text1"/>
          <w:lang w:val="en" w:eastAsia="en-AU"/>
        </w:rPr>
        <w:t>RELATED LEGISLATION</w:t>
      </w:r>
    </w:p>
    <w:p w14:paraId="4B0F34E1"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Information Privacy Act Queensland (2009)</w:t>
      </w:r>
    </w:p>
    <w:p w14:paraId="216C7C06"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Workplace Health and Safety Act (2011) QLD</w:t>
      </w:r>
    </w:p>
    <w:p w14:paraId="59DEB550"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Industrial Relations Act (2016) QLD</w:t>
      </w:r>
    </w:p>
    <w:p w14:paraId="4FDEB4AC" w14:textId="77777777" w:rsidR="00AC5FEB" w:rsidRPr="00FC73F6" w:rsidRDefault="00AC5FEB" w:rsidP="00FC73F6">
      <w:pPr>
        <w:numPr>
          <w:ilvl w:val="0"/>
          <w:numId w:val="9"/>
        </w:numPr>
        <w:spacing w:after="120" w:line="259" w:lineRule="auto"/>
        <w:ind w:left="493" w:hanging="357"/>
        <w:jc w:val="both"/>
        <w:rPr>
          <w:rFonts w:ascii="Arial" w:hAnsi="Arial" w:cs="Arial"/>
          <w:color w:val="000000" w:themeColor="text1"/>
        </w:rPr>
      </w:pPr>
      <w:r w:rsidRPr="00FC73F6">
        <w:rPr>
          <w:rFonts w:ascii="Arial" w:hAnsi="Arial" w:cs="Arial"/>
          <w:color w:val="000000" w:themeColor="text1"/>
        </w:rPr>
        <w:t xml:space="preserve">Anti-Discrimination/Equal Opportunity Act (2009) QLD. </w:t>
      </w:r>
    </w:p>
    <w:p w14:paraId="2DC618EE" w14:textId="77777777" w:rsidR="00AC5FEB" w:rsidRPr="00FC73F6" w:rsidRDefault="00AC5FEB" w:rsidP="00AC5FEB">
      <w:pPr>
        <w:pStyle w:val="Default"/>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405"/>
        <w:gridCol w:w="6237"/>
      </w:tblGrid>
      <w:tr w:rsidR="00FC73F6" w:rsidRPr="00FC73F6" w14:paraId="721EC943" w14:textId="77777777" w:rsidTr="00B90A95">
        <w:tc>
          <w:tcPr>
            <w:tcW w:w="2405" w:type="dxa"/>
            <w:shd w:val="clear" w:color="auto" w:fill="8EAADB" w:themeFill="accent1" w:themeFillTint="99"/>
          </w:tcPr>
          <w:p w14:paraId="23B73243" w14:textId="77777777" w:rsidR="00AC5FEB" w:rsidRPr="00FC73F6" w:rsidRDefault="00AC5FEB" w:rsidP="00B90A95">
            <w:pPr>
              <w:rPr>
                <w:rFonts w:ascii="Arial" w:hAnsi="Arial" w:cs="Arial"/>
                <w:b/>
                <w:color w:val="000000" w:themeColor="text1"/>
              </w:rPr>
            </w:pPr>
          </w:p>
          <w:p w14:paraId="460FF8F9" w14:textId="77777777" w:rsidR="00AC5FEB" w:rsidRPr="00FC73F6" w:rsidRDefault="00AC5FEB" w:rsidP="00B90A95">
            <w:pPr>
              <w:rPr>
                <w:rFonts w:ascii="Arial" w:hAnsi="Arial" w:cs="Arial"/>
                <w:b/>
                <w:color w:val="000000" w:themeColor="text1"/>
              </w:rPr>
            </w:pPr>
            <w:r w:rsidRPr="00FC73F6">
              <w:rPr>
                <w:rFonts w:ascii="Arial" w:hAnsi="Arial" w:cs="Arial"/>
                <w:b/>
                <w:color w:val="000000" w:themeColor="text1"/>
              </w:rPr>
              <w:t>DATE OF BOARD ENDORSEMENT</w:t>
            </w:r>
          </w:p>
          <w:p w14:paraId="6DCF50FB" w14:textId="77777777" w:rsidR="00AC5FEB" w:rsidRPr="00FC73F6" w:rsidRDefault="00AC5FEB" w:rsidP="00B90A95">
            <w:pPr>
              <w:rPr>
                <w:rFonts w:ascii="Arial" w:hAnsi="Arial" w:cs="Arial"/>
                <w:b/>
                <w:color w:val="000000" w:themeColor="text1"/>
              </w:rPr>
            </w:pPr>
          </w:p>
        </w:tc>
        <w:tc>
          <w:tcPr>
            <w:tcW w:w="6237" w:type="dxa"/>
          </w:tcPr>
          <w:p w14:paraId="744C7D43" w14:textId="77777777" w:rsidR="00AC5FEB" w:rsidRDefault="00AC5FEB" w:rsidP="00B90A95">
            <w:pPr>
              <w:pStyle w:val="Default"/>
              <w:jc w:val="both"/>
              <w:rPr>
                <w:rFonts w:ascii="Arial" w:hAnsi="Arial" w:cs="Arial"/>
                <w:color w:val="000000" w:themeColor="text1"/>
                <w:sz w:val="22"/>
                <w:szCs w:val="22"/>
              </w:rPr>
            </w:pPr>
          </w:p>
          <w:p w14:paraId="456295EF" w14:textId="47CFDEF7" w:rsidR="00AD30B6" w:rsidRPr="00FC73F6" w:rsidRDefault="00AD30B6" w:rsidP="00B90A95">
            <w:pPr>
              <w:pStyle w:val="Default"/>
              <w:jc w:val="both"/>
              <w:rPr>
                <w:rFonts w:ascii="Arial" w:hAnsi="Arial" w:cs="Arial"/>
                <w:color w:val="000000" w:themeColor="text1"/>
                <w:sz w:val="22"/>
                <w:szCs w:val="22"/>
              </w:rPr>
            </w:pPr>
            <w:r>
              <w:rPr>
                <w:rFonts w:ascii="Arial" w:hAnsi="Arial" w:cs="Arial"/>
              </w:rPr>
              <w:t>06/02/2019</w:t>
            </w:r>
          </w:p>
        </w:tc>
      </w:tr>
      <w:tr w:rsidR="00FC73F6" w:rsidRPr="00FC73F6" w14:paraId="32CB9CCA" w14:textId="77777777" w:rsidTr="00B90A95">
        <w:tc>
          <w:tcPr>
            <w:tcW w:w="2405" w:type="dxa"/>
            <w:shd w:val="clear" w:color="auto" w:fill="8EAADB" w:themeFill="accent1" w:themeFillTint="99"/>
          </w:tcPr>
          <w:p w14:paraId="221C0E92" w14:textId="77777777" w:rsidR="00AC5FEB" w:rsidRPr="00FC73F6" w:rsidRDefault="00AC5FEB" w:rsidP="00B90A95">
            <w:pPr>
              <w:rPr>
                <w:rFonts w:ascii="Arial" w:hAnsi="Arial" w:cs="Arial"/>
                <w:b/>
                <w:color w:val="000000" w:themeColor="text1"/>
              </w:rPr>
            </w:pPr>
          </w:p>
          <w:p w14:paraId="2967BB00" w14:textId="77777777" w:rsidR="00AC5FEB" w:rsidRPr="00FC73F6" w:rsidRDefault="00AC5FEB" w:rsidP="00B90A95">
            <w:pPr>
              <w:rPr>
                <w:rFonts w:ascii="Arial" w:hAnsi="Arial" w:cs="Arial"/>
                <w:b/>
                <w:color w:val="000000" w:themeColor="text1"/>
              </w:rPr>
            </w:pPr>
            <w:r w:rsidRPr="00FC73F6">
              <w:rPr>
                <w:rFonts w:ascii="Arial" w:hAnsi="Arial" w:cs="Arial"/>
                <w:b/>
                <w:color w:val="000000" w:themeColor="text1"/>
              </w:rPr>
              <w:t>LAST REVIEW DATE</w:t>
            </w:r>
          </w:p>
          <w:p w14:paraId="0B7DBF2D" w14:textId="77777777" w:rsidR="00AC5FEB" w:rsidRPr="00FC73F6" w:rsidRDefault="00AC5FEB" w:rsidP="00B90A95">
            <w:pPr>
              <w:rPr>
                <w:rFonts w:ascii="Arial" w:hAnsi="Arial" w:cs="Arial"/>
                <w:b/>
                <w:color w:val="000000" w:themeColor="text1"/>
              </w:rPr>
            </w:pPr>
          </w:p>
        </w:tc>
        <w:tc>
          <w:tcPr>
            <w:tcW w:w="6237" w:type="dxa"/>
          </w:tcPr>
          <w:p w14:paraId="4844ACDD" w14:textId="77777777" w:rsidR="00AC5FEB" w:rsidRDefault="00AC5FEB" w:rsidP="00B90A95">
            <w:pPr>
              <w:pStyle w:val="Default"/>
              <w:jc w:val="both"/>
              <w:rPr>
                <w:rFonts w:ascii="Arial" w:hAnsi="Arial" w:cs="Arial"/>
                <w:color w:val="000000" w:themeColor="text1"/>
                <w:sz w:val="22"/>
                <w:szCs w:val="22"/>
              </w:rPr>
            </w:pPr>
          </w:p>
          <w:p w14:paraId="721BE275" w14:textId="15FC4430" w:rsidR="00AD30B6" w:rsidRPr="00FC73F6" w:rsidRDefault="00AD30B6" w:rsidP="00B90A95">
            <w:pPr>
              <w:pStyle w:val="Default"/>
              <w:jc w:val="both"/>
              <w:rPr>
                <w:rFonts w:ascii="Arial" w:hAnsi="Arial" w:cs="Arial"/>
                <w:color w:val="000000" w:themeColor="text1"/>
                <w:sz w:val="22"/>
                <w:szCs w:val="22"/>
              </w:rPr>
            </w:pPr>
            <w:r>
              <w:rPr>
                <w:rFonts w:ascii="Arial" w:hAnsi="Arial" w:cs="Arial"/>
              </w:rPr>
              <w:t>06/02/2019</w:t>
            </w:r>
          </w:p>
        </w:tc>
      </w:tr>
      <w:tr w:rsidR="00FC73F6" w:rsidRPr="00FC73F6" w14:paraId="7B16BE6B" w14:textId="77777777" w:rsidTr="00B90A95">
        <w:tc>
          <w:tcPr>
            <w:tcW w:w="2405" w:type="dxa"/>
            <w:shd w:val="clear" w:color="auto" w:fill="8EAADB" w:themeFill="accent1" w:themeFillTint="99"/>
          </w:tcPr>
          <w:p w14:paraId="484AB5A4" w14:textId="77777777" w:rsidR="00AC5FEB" w:rsidRPr="00FC73F6" w:rsidRDefault="00AC5FEB" w:rsidP="00B90A95">
            <w:pPr>
              <w:rPr>
                <w:rFonts w:ascii="Arial" w:hAnsi="Arial" w:cs="Arial"/>
                <w:b/>
                <w:color w:val="000000" w:themeColor="text1"/>
              </w:rPr>
            </w:pPr>
          </w:p>
          <w:p w14:paraId="7527409F" w14:textId="77777777" w:rsidR="00AC5FEB" w:rsidRPr="00FC73F6" w:rsidRDefault="00AC5FEB" w:rsidP="00B90A95">
            <w:pPr>
              <w:rPr>
                <w:rFonts w:ascii="Arial" w:hAnsi="Arial" w:cs="Arial"/>
                <w:b/>
                <w:color w:val="000000" w:themeColor="text1"/>
              </w:rPr>
            </w:pPr>
            <w:r w:rsidRPr="00FC73F6">
              <w:rPr>
                <w:rFonts w:ascii="Arial" w:hAnsi="Arial" w:cs="Arial"/>
                <w:b/>
                <w:color w:val="000000" w:themeColor="text1"/>
              </w:rPr>
              <w:t>NEXT REVIEW DATE</w:t>
            </w:r>
          </w:p>
          <w:p w14:paraId="7DE7111D" w14:textId="77777777" w:rsidR="00AC5FEB" w:rsidRPr="00FC73F6" w:rsidRDefault="00AC5FEB" w:rsidP="00B90A95">
            <w:pPr>
              <w:rPr>
                <w:rFonts w:ascii="Arial" w:hAnsi="Arial" w:cs="Arial"/>
                <w:b/>
                <w:color w:val="000000" w:themeColor="text1"/>
              </w:rPr>
            </w:pPr>
          </w:p>
        </w:tc>
        <w:tc>
          <w:tcPr>
            <w:tcW w:w="6237" w:type="dxa"/>
          </w:tcPr>
          <w:p w14:paraId="24888165" w14:textId="77777777" w:rsidR="00AC5FEB" w:rsidRPr="00FC73F6" w:rsidRDefault="00AC5FEB" w:rsidP="00B90A95">
            <w:pPr>
              <w:pStyle w:val="Default"/>
              <w:jc w:val="both"/>
              <w:rPr>
                <w:rFonts w:ascii="Arial" w:eastAsia="Times New Roman" w:hAnsi="Arial" w:cs="Arial"/>
                <w:color w:val="000000" w:themeColor="text1"/>
                <w:sz w:val="20"/>
                <w:szCs w:val="20"/>
              </w:rPr>
            </w:pPr>
          </w:p>
          <w:p w14:paraId="23D8BCE9" w14:textId="77777777" w:rsidR="00AC5FEB" w:rsidRPr="00FC73F6" w:rsidRDefault="00AC5FEB" w:rsidP="00B90A95">
            <w:pPr>
              <w:pStyle w:val="Default"/>
              <w:jc w:val="both"/>
              <w:rPr>
                <w:rFonts w:ascii="Arial" w:eastAsia="Times New Roman" w:hAnsi="Arial" w:cs="Arial"/>
                <w:color w:val="000000" w:themeColor="text1"/>
                <w:sz w:val="20"/>
                <w:szCs w:val="20"/>
              </w:rPr>
            </w:pPr>
            <w:r w:rsidRPr="00FC73F6">
              <w:rPr>
                <w:rFonts w:ascii="Arial" w:eastAsia="Times New Roman" w:hAnsi="Arial" w:cs="Arial"/>
                <w:color w:val="000000" w:themeColor="text1"/>
                <w:sz w:val="20"/>
                <w:szCs w:val="20"/>
              </w:rPr>
              <w:t>This policy and procedure will be reviewed on an 18-month basis.  However, if at any time the legislative, policy or funding environment is so altered that the policy is no longer appropriate in its current form, the policy and procedure will be reviewed immediately and amended accordingly.</w:t>
            </w:r>
          </w:p>
          <w:p w14:paraId="4CD3F97B" w14:textId="77777777" w:rsidR="00AC5FEB" w:rsidRPr="00FC73F6" w:rsidRDefault="00AC5FEB" w:rsidP="00B90A95">
            <w:pPr>
              <w:pStyle w:val="Default"/>
              <w:jc w:val="both"/>
              <w:rPr>
                <w:rFonts w:ascii="Arial" w:hAnsi="Arial" w:cs="Arial"/>
                <w:color w:val="000000" w:themeColor="text1"/>
                <w:sz w:val="22"/>
                <w:szCs w:val="22"/>
              </w:rPr>
            </w:pPr>
          </w:p>
        </w:tc>
      </w:tr>
    </w:tbl>
    <w:p w14:paraId="32940DCD" w14:textId="77777777" w:rsidR="00AC5FEB" w:rsidRPr="00FC73F6" w:rsidRDefault="00AC5FEB" w:rsidP="00AC5FEB">
      <w:pPr>
        <w:rPr>
          <w:rFonts w:ascii="Arial" w:hAnsi="Arial" w:cs="Arial"/>
          <w:b/>
          <w:i/>
          <w:color w:val="000000" w:themeColor="text1"/>
          <w:sz w:val="48"/>
          <w:szCs w:val="48"/>
        </w:rPr>
      </w:pPr>
    </w:p>
    <w:p w14:paraId="72D30289" w14:textId="77777777" w:rsidR="00E00E4C" w:rsidRPr="00FC73F6" w:rsidRDefault="00E00E4C">
      <w:pPr>
        <w:rPr>
          <w:color w:val="000000" w:themeColor="text1"/>
        </w:rPr>
      </w:pPr>
    </w:p>
    <w:sectPr w:rsidR="00E00E4C" w:rsidRPr="00FC73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4E7C" w14:textId="77777777" w:rsidR="00CD287B" w:rsidRDefault="00CD287B" w:rsidP="00CD287B">
      <w:r>
        <w:separator/>
      </w:r>
    </w:p>
  </w:endnote>
  <w:endnote w:type="continuationSeparator" w:id="0">
    <w:p w14:paraId="7F5763F5" w14:textId="77777777" w:rsidR="00CD287B" w:rsidRDefault="00CD287B" w:rsidP="00C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Medium">
    <w:altName w:val="Calibri"/>
    <w:panose1 w:val="00000000000000000000"/>
    <w:charset w:val="00"/>
    <w:family w:val="swiss"/>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ACC0" w14:textId="4BAF6611" w:rsidR="00CD287B" w:rsidRDefault="0075211A">
    <w:pPr>
      <w:pStyle w:val="Footer"/>
    </w:pPr>
    <w:r>
      <w:rPr>
        <w:noProof/>
      </w:rPr>
      <w:fldChar w:fldCharType="begin"/>
    </w:r>
    <w:r>
      <w:rPr>
        <w:noProof/>
      </w:rPr>
      <w:instrText xml:space="preserve"> FILENAME \* MERGEFORMAT </w:instrText>
    </w:r>
    <w:r>
      <w:rPr>
        <w:noProof/>
      </w:rPr>
      <w:fldChar w:fldCharType="separate"/>
    </w:r>
    <w:r w:rsidR="00CD287B">
      <w:rPr>
        <w:noProof/>
      </w:rPr>
      <w:t>18_HR001.18_EmployeeConflictof Interest</w:t>
    </w:r>
    <w:r>
      <w:rPr>
        <w:noProof/>
      </w:rPr>
      <w:fldChar w:fldCharType="end"/>
    </w:r>
    <w:r w:rsidR="00CD287B">
      <w:t>/</w:t>
    </w:r>
    <w:r w:rsidR="00CD287B">
      <w:fldChar w:fldCharType="begin"/>
    </w:r>
    <w:r w:rsidR="00CD287B">
      <w:instrText xml:space="preserve"> DATE \@ "yyyy-MM-dd" </w:instrText>
    </w:r>
    <w:r w:rsidR="00CD287B">
      <w:fldChar w:fldCharType="separate"/>
    </w:r>
    <w:r w:rsidR="00AB7535">
      <w:rPr>
        <w:noProof/>
      </w:rPr>
      <w:t>2019-02-08</w:t>
    </w:r>
    <w:r w:rsidR="00CD287B">
      <w:fldChar w:fldCharType="end"/>
    </w:r>
    <w:r w:rsidR="00CD287B">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AC4D" w14:textId="77777777" w:rsidR="00CD287B" w:rsidRDefault="00CD287B" w:rsidP="00CD287B">
      <w:r>
        <w:separator/>
      </w:r>
    </w:p>
  </w:footnote>
  <w:footnote w:type="continuationSeparator" w:id="0">
    <w:p w14:paraId="6FFEA17E" w14:textId="77777777" w:rsidR="00CD287B" w:rsidRDefault="00CD287B" w:rsidP="00CD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4EA"/>
    <w:multiLevelType w:val="multilevel"/>
    <w:tmpl w:val="82B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2DF2"/>
    <w:multiLevelType w:val="hybridMultilevel"/>
    <w:tmpl w:val="B88E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C0CB2"/>
    <w:multiLevelType w:val="hybridMultilevel"/>
    <w:tmpl w:val="6CD0C06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3294E45"/>
    <w:multiLevelType w:val="multilevel"/>
    <w:tmpl w:val="EA9264C4"/>
    <w:lvl w:ilvl="0">
      <w:start w:val="1"/>
      <w:numFmt w:val="bullet"/>
      <w:lvlText w:val=""/>
      <w:lvlJc w:val="left"/>
      <w:pPr>
        <w:tabs>
          <w:tab w:val="num" w:pos="718"/>
        </w:tabs>
        <w:ind w:left="718" w:hanging="360"/>
      </w:pPr>
      <w:rPr>
        <w:rFonts w:ascii="Symbol" w:hAnsi="Symbol" w:hint="default"/>
        <w:sz w:val="20"/>
      </w:rPr>
    </w:lvl>
    <w:lvl w:ilvl="1" w:tentative="1">
      <w:start w:val="1"/>
      <w:numFmt w:val="bullet"/>
      <w:lvlText w:val="o"/>
      <w:lvlJc w:val="left"/>
      <w:pPr>
        <w:tabs>
          <w:tab w:val="num" w:pos="1438"/>
        </w:tabs>
        <w:ind w:left="1438" w:hanging="360"/>
      </w:pPr>
      <w:rPr>
        <w:rFonts w:ascii="Courier New" w:hAnsi="Courier New" w:hint="default"/>
        <w:sz w:val="20"/>
      </w:rPr>
    </w:lvl>
    <w:lvl w:ilvl="2" w:tentative="1">
      <w:start w:val="1"/>
      <w:numFmt w:val="bullet"/>
      <w:lvlText w:val=""/>
      <w:lvlJc w:val="left"/>
      <w:pPr>
        <w:tabs>
          <w:tab w:val="num" w:pos="2158"/>
        </w:tabs>
        <w:ind w:left="2158" w:hanging="360"/>
      </w:pPr>
      <w:rPr>
        <w:rFonts w:ascii="Wingdings" w:hAnsi="Wingdings" w:hint="default"/>
        <w:sz w:val="20"/>
      </w:rPr>
    </w:lvl>
    <w:lvl w:ilvl="3" w:tentative="1">
      <w:start w:val="1"/>
      <w:numFmt w:val="bullet"/>
      <w:lvlText w:val=""/>
      <w:lvlJc w:val="left"/>
      <w:pPr>
        <w:tabs>
          <w:tab w:val="num" w:pos="2878"/>
        </w:tabs>
        <w:ind w:left="2878" w:hanging="360"/>
      </w:pPr>
      <w:rPr>
        <w:rFonts w:ascii="Wingdings" w:hAnsi="Wingdings" w:hint="default"/>
        <w:sz w:val="20"/>
      </w:rPr>
    </w:lvl>
    <w:lvl w:ilvl="4" w:tentative="1">
      <w:start w:val="1"/>
      <w:numFmt w:val="bullet"/>
      <w:lvlText w:val=""/>
      <w:lvlJc w:val="left"/>
      <w:pPr>
        <w:tabs>
          <w:tab w:val="num" w:pos="3598"/>
        </w:tabs>
        <w:ind w:left="3598" w:hanging="360"/>
      </w:pPr>
      <w:rPr>
        <w:rFonts w:ascii="Wingdings" w:hAnsi="Wingdings" w:hint="default"/>
        <w:sz w:val="20"/>
      </w:rPr>
    </w:lvl>
    <w:lvl w:ilvl="5" w:tentative="1">
      <w:start w:val="1"/>
      <w:numFmt w:val="bullet"/>
      <w:lvlText w:val=""/>
      <w:lvlJc w:val="left"/>
      <w:pPr>
        <w:tabs>
          <w:tab w:val="num" w:pos="4318"/>
        </w:tabs>
        <w:ind w:left="4318" w:hanging="360"/>
      </w:pPr>
      <w:rPr>
        <w:rFonts w:ascii="Wingdings" w:hAnsi="Wingdings" w:hint="default"/>
        <w:sz w:val="20"/>
      </w:rPr>
    </w:lvl>
    <w:lvl w:ilvl="6" w:tentative="1">
      <w:start w:val="1"/>
      <w:numFmt w:val="bullet"/>
      <w:lvlText w:val=""/>
      <w:lvlJc w:val="left"/>
      <w:pPr>
        <w:tabs>
          <w:tab w:val="num" w:pos="5038"/>
        </w:tabs>
        <w:ind w:left="5038" w:hanging="360"/>
      </w:pPr>
      <w:rPr>
        <w:rFonts w:ascii="Wingdings" w:hAnsi="Wingdings" w:hint="default"/>
        <w:sz w:val="20"/>
      </w:rPr>
    </w:lvl>
    <w:lvl w:ilvl="7" w:tentative="1">
      <w:start w:val="1"/>
      <w:numFmt w:val="bullet"/>
      <w:lvlText w:val=""/>
      <w:lvlJc w:val="left"/>
      <w:pPr>
        <w:tabs>
          <w:tab w:val="num" w:pos="5758"/>
        </w:tabs>
        <w:ind w:left="5758" w:hanging="360"/>
      </w:pPr>
      <w:rPr>
        <w:rFonts w:ascii="Wingdings" w:hAnsi="Wingdings" w:hint="default"/>
        <w:sz w:val="20"/>
      </w:rPr>
    </w:lvl>
    <w:lvl w:ilvl="8" w:tentative="1">
      <w:start w:val="1"/>
      <w:numFmt w:val="bullet"/>
      <w:lvlText w:val=""/>
      <w:lvlJc w:val="left"/>
      <w:pPr>
        <w:tabs>
          <w:tab w:val="num" w:pos="6478"/>
        </w:tabs>
        <w:ind w:left="6478" w:hanging="360"/>
      </w:pPr>
      <w:rPr>
        <w:rFonts w:ascii="Wingdings" w:hAnsi="Wingdings" w:hint="default"/>
        <w:sz w:val="20"/>
      </w:rPr>
    </w:lvl>
  </w:abstractNum>
  <w:abstractNum w:abstractNumId="4" w15:restartNumberingAfterBreak="0">
    <w:nsid w:val="155D35AF"/>
    <w:multiLevelType w:val="multilevel"/>
    <w:tmpl w:val="72F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D5FBF"/>
    <w:multiLevelType w:val="hybridMultilevel"/>
    <w:tmpl w:val="5742DAFA"/>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22F49"/>
    <w:multiLevelType w:val="multilevel"/>
    <w:tmpl w:val="97A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6174"/>
    <w:multiLevelType w:val="hybridMultilevel"/>
    <w:tmpl w:val="9D4E26F4"/>
    <w:lvl w:ilvl="0" w:tplc="5680CDF2">
      <w:start w:val="1"/>
      <w:numFmt w:val="bullet"/>
      <w:pStyle w:val="BulletListPolicy"/>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201F6E0D"/>
    <w:multiLevelType w:val="hybridMultilevel"/>
    <w:tmpl w:val="934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66A60"/>
    <w:multiLevelType w:val="hybridMultilevel"/>
    <w:tmpl w:val="02BE903E"/>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141A39"/>
    <w:multiLevelType w:val="hybridMultilevel"/>
    <w:tmpl w:val="CF4ADC8A"/>
    <w:lvl w:ilvl="0" w:tplc="0C09000F">
      <w:start w:val="1"/>
      <w:numFmt w:val="decimal"/>
      <w:lvlText w:val="%1."/>
      <w:lvlJc w:val="left"/>
      <w:pPr>
        <w:ind w:left="1360" w:hanging="360"/>
      </w:pPr>
    </w:lvl>
    <w:lvl w:ilvl="1" w:tplc="4C0AA510">
      <w:start w:val="1"/>
      <w:numFmt w:val="bullet"/>
      <w:lvlText w:val="·"/>
      <w:lvlJc w:val="left"/>
      <w:pPr>
        <w:ind w:left="2080" w:hanging="360"/>
      </w:pPr>
      <w:rPr>
        <w:rFonts w:ascii="Arial" w:eastAsiaTheme="minorHAnsi" w:hAnsi="Arial" w:cs="Arial" w:hint="default"/>
      </w:rPr>
    </w:lvl>
    <w:lvl w:ilvl="2" w:tplc="0C09001B" w:tentative="1">
      <w:start w:val="1"/>
      <w:numFmt w:val="lowerRoman"/>
      <w:lvlText w:val="%3."/>
      <w:lvlJc w:val="right"/>
      <w:pPr>
        <w:ind w:left="2800" w:hanging="180"/>
      </w:pPr>
    </w:lvl>
    <w:lvl w:ilvl="3" w:tplc="0C09000F" w:tentative="1">
      <w:start w:val="1"/>
      <w:numFmt w:val="decimal"/>
      <w:lvlText w:val="%4."/>
      <w:lvlJc w:val="left"/>
      <w:pPr>
        <w:ind w:left="3520" w:hanging="360"/>
      </w:pPr>
    </w:lvl>
    <w:lvl w:ilvl="4" w:tplc="0C090019" w:tentative="1">
      <w:start w:val="1"/>
      <w:numFmt w:val="lowerLetter"/>
      <w:lvlText w:val="%5."/>
      <w:lvlJc w:val="left"/>
      <w:pPr>
        <w:ind w:left="4240" w:hanging="360"/>
      </w:pPr>
    </w:lvl>
    <w:lvl w:ilvl="5" w:tplc="0C09001B" w:tentative="1">
      <w:start w:val="1"/>
      <w:numFmt w:val="lowerRoman"/>
      <w:lvlText w:val="%6."/>
      <w:lvlJc w:val="right"/>
      <w:pPr>
        <w:ind w:left="4960" w:hanging="180"/>
      </w:pPr>
    </w:lvl>
    <w:lvl w:ilvl="6" w:tplc="0C09000F" w:tentative="1">
      <w:start w:val="1"/>
      <w:numFmt w:val="decimal"/>
      <w:lvlText w:val="%7."/>
      <w:lvlJc w:val="left"/>
      <w:pPr>
        <w:ind w:left="5680" w:hanging="360"/>
      </w:pPr>
    </w:lvl>
    <w:lvl w:ilvl="7" w:tplc="0C090019" w:tentative="1">
      <w:start w:val="1"/>
      <w:numFmt w:val="lowerLetter"/>
      <w:lvlText w:val="%8."/>
      <w:lvlJc w:val="left"/>
      <w:pPr>
        <w:ind w:left="6400" w:hanging="360"/>
      </w:pPr>
    </w:lvl>
    <w:lvl w:ilvl="8" w:tplc="0C09001B" w:tentative="1">
      <w:start w:val="1"/>
      <w:numFmt w:val="lowerRoman"/>
      <w:lvlText w:val="%9."/>
      <w:lvlJc w:val="right"/>
      <w:pPr>
        <w:ind w:left="7120" w:hanging="180"/>
      </w:pPr>
    </w:lvl>
  </w:abstractNum>
  <w:abstractNum w:abstractNumId="11" w15:restartNumberingAfterBreak="0">
    <w:nsid w:val="2C9C2162"/>
    <w:multiLevelType w:val="hybridMultilevel"/>
    <w:tmpl w:val="C00A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21DEC"/>
    <w:multiLevelType w:val="multilevel"/>
    <w:tmpl w:val="1B421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B43DA"/>
    <w:multiLevelType w:val="hybridMultilevel"/>
    <w:tmpl w:val="3DE027C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41AEB"/>
    <w:multiLevelType w:val="multilevel"/>
    <w:tmpl w:val="D23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77301"/>
    <w:multiLevelType w:val="hybridMultilevel"/>
    <w:tmpl w:val="7214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187659"/>
    <w:multiLevelType w:val="hybridMultilevel"/>
    <w:tmpl w:val="154EBF9E"/>
    <w:lvl w:ilvl="0" w:tplc="859C53C0">
      <w:start w:val="1"/>
      <w:numFmt w:val="decimal"/>
      <w:pStyle w:val="NumberedHeadings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B412D"/>
    <w:multiLevelType w:val="multilevel"/>
    <w:tmpl w:val="56F0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12C31"/>
    <w:multiLevelType w:val="hybridMultilevel"/>
    <w:tmpl w:val="40B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35F06"/>
    <w:multiLevelType w:val="multilevel"/>
    <w:tmpl w:val="592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45D7C"/>
    <w:multiLevelType w:val="multilevel"/>
    <w:tmpl w:val="4CB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4644"/>
    <w:multiLevelType w:val="hybridMultilevel"/>
    <w:tmpl w:val="C6B0024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3" w15:restartNumberingAfterBreak="0">
    <w:nsid w:val="5A17619F"/>
    <w:multiLevelType w:val="hybridMultilevel"/>
    <w:tmpl w:val="DD3C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E728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F7043D"/>
    <w:multiLevelType w:val="multilevel"/>
    <w:tmpl w:val="9ACA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24"/>
  </w:num>
  <w:num w:numId="5">
    <w:abstractNumId w:val="10"/>
  </w:num>
  <w:num w:numId="6">
    <w:abstractNumId w:val="13"/>
  </w:num>
  <w:num w:numId="7">
    <w:abstractNumId w:val="15"/>
  </w:num>
  <w:num w:numId="8">
    <w:abstractNumId w:val="12"/>
  </w:num>
  <w:num w:numId="9">
    <w:abstractNumId w:val="17"/>
  </w:num>
  <w:num w:numId="10">
    <w:abstractNumId w:val="11"/>
  </w:num>
  <w:num w:numId="11">
    <w:abstractNumId w:val="22"/>
  </w:num>
  <w:num w:numId="12">
    <w:abstractNumId w:val="8"/>
  </w:num>
  <w:num w:numId="13">
    <w:abstractNumId w:val="18"/>
  </w:num>
  <w:num w:numId="14">
    <w:abstractNumId w:val="19"/>
  </w:num>
  <w:num w:numId="15">
    <w:abstractNumId w:val="5"/>
  </w:num>
  <w:num w:numId="16">
    <w:abstractNumId w:val="14"/>
  </w:num>
  <w:num w:numId="17">
    <w:abstractNumId w:val="25"/>
  </w:num>
  <w:num w:numId="18">
    <w:abstractNumId w:val="0"/>
  </w:num>
  <w:num w:numId="19">
    <w:abstractNumId w:val="21"/>
  </w:num>
  <w:num w:numId="20">
    <w:abstractNumId w:val="20"/>
  </w:num>
  <w:num w:numId="21">
    <w:abstractNumId w:val="23"/>
  </w:num>
  <w:num w:numId="22">
    <w:abstractNumId w:val="1"/>
  </w:num>
  <w:num w:numId="23">
    <w:abstractNumId w:val="3"/>
  </w:num>
  <w:num w:numId="24">
    <w:abstractNumId w:val="4"/>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EB"/>
    <w:rsid w:val="0059464F"/>
    <w:rsid w:val="006B4186"/>
    <w:rsid w:val="0075211A"/>
    <w:rsid w:val="00AB7535"/>
    <w:rsid w:val="00AC5FEB"/>
    <w:rsid w:val="00AD30B6"/>
    <w:rsid w:val="00CD287B"/>
    <w:rsid w:val="00D011DD"/>
    <w:rsid w:val="00E00E4C"/>
    <w:rsid w:val="00FC7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B0"/>
  <w15:chartTrackingRefBased/>
  <w15:docId w15:val="{1A0E8F23-1640-4B3F-B310-E857D4D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EB"/>
    <w:pPr>
      <w:spacing w:after="0" w:line="240" w:lineRule="auto"/>
    </w:pPr>
    <w:rPr>
      <w:rFonts w:ascii="Calibri" w:hAnsi="Calibri" w:cs="Calibri"/>
    </w:rPr>
  </w:style>
  <w:style w:type="paragraph" w:styleId="Heading1">
    <w:name w:val="heading 1"/>
    <w:basedOn w:val="Normal"/>
    <w:next w:val="Normal"/>
    <w:link w:val="Heading1Char"/>
    <w:uiPriority w:val="9"/>
    <w:qFormat/>
    <w:rsid w:val="00AC5F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F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5FE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F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5FEB"/>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C5F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F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5F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5F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5FEB"/>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AC5FEB"/>
    <w:rPr>
      <w:rFonts w:asciiTheme="majorHAnsi" w:eastAsiaTheme="majorEastAsia" w:hAnsiTheme="majorHAnsi" w:cstheme="majorBidi"/>
      <w:color w:val="272727" w:themeColor="text1" w:themeTint="D8"/>
      <w:sz w:val="21"/>
      <w:szCs w:val="21"/>
    </w:rPr>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AC5FEB"/>
    <w:pPr>
      <w:ind w:left="720"/>
      <w:contextualSpacing/>
    </w:pPr>
  </w:style>
  <w:style w:type="paragraph" w:styleId="Header">
    <w:name w:val="header"/>
    <w:basedOn w:val="Normal"/>
    <w:link w:val="HeaderChar"/>
    <w:unhideWhenUsed/>
    <w:rsid w:val="00AC5FEB"/>
    <w:pPr>
      <w:tabs>
        <w:tab w:val="center" w:pos="4513"/>
        <w:tab w:val="right" w:pos="9026"/>
      </w:tabs>
    </w:pPr>
  </w:style>
  <w:style w:type="character" w:customStyle="1" w:styleId="HeaderChar">
    <w:name w:val="Header Char"/>
    <w:basedOn w:val="DefaultParagraphFont"/>
    <w:link w:val="Header"/>
    <w:rsid w:val="00AC5FEB"/>
    <w:rPr>
      <w:rFonts w:ascii="Calibri" w:hAnsi="Calibri" w:cs="Calibri"/>
    </w:rPr>
  </w:style>
  <w:style w:type="paragraph" w:styleId="Footer">
    <w:name w:val="footer"/>
    <w:basedOn w:val="Normal"/>
    <w:link w:val="FooterChar"/>
    <w:uiPriority w:val="99"/>
    <w:unhideWhenUsed/>
    <w:rsid w:val="00AC5FEB"/>
    <w:pPr>
      <w:tabs>
        <w:tab w:val="center" w:pos="4513"/>
        <w:tab w:val="right" w:pos="9026"/>
      </w:tabs>
    </w:pPr>
  </w:style>
  <w:style w:type="character" w:customStyle="1" w:styleId="FooterChar">
    <w:name w:val="Footer Char"/>
    <w:basedOn w:val="DefaultParagraphFont"/>
    <w:link w:val="Footer"/>
    <w:uiPriority w:val="99"/>
    <w:rsid w:val="00AC5FEB"/>
    <w:rPr>
      <w:rFonts w:ascii="Calibri" w:hAnsi="Calibri" w:cs="Calibri"/>
    </w:rPr>
  </w:style>
  <w:style w:type="paragraph" w:customStyle="1" w:styleId="Default">
    <w:name w:val="Default"/>
    <w:rsid w:val="00AC5F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llowedHyperlink"/>
    <w:rsid w:val="00AC5FEB"/>
    <w:rPr>
      <w:color w:val="0000FF"/>
      <w:sz w:val="20"/>
      <w:szCs w:val="17"/>
      <w:u w:val="single"/>
    </w:rPr>
  </w:style>
  <w:style w:type="paragraph" w:customStyle="1" w:styleId="PolicyName">
    <w:name w:val="Policy Name"/>
    <w:rsid w:val="00AC5FEB"/>
    <w:pPr>
      <w:spacing w:after="360" w:line="240" w:lineRule="auto"/>
      <w:jc w:val="center"/>
    </w:pPr>
    <w:rPr>
      <w:rFonts w:ascii="Arial" w:eastAsia="Times New Roman" w:hAnsi="Arial" w:cs="Times New Roman"/>
      <w:b/>
      <w:bCs/>
      <w:color w:val="000000"/>
      <w:sz w:val="28"/>
      <w:szCs w:val="20"/>
      <w:lang w:eastAsia="en-AU"/>
    </w:rPr>
  </w:style>
  <w:style w:type="paragraph" w:customStyle="1" w:styleId="PolicyIndexBodyText">
    <w:name w:val="Policy Index Body Text"/>
    <w:basedOn w:val="Normal"/>
    <w:rsid w:val="00AC5FEB"/>
    <w:pPr>
      <w:autoSpaceDE w:val="0"/>
      <w:autoSpaceDN w:val="0"/>
      <w:adjustRightInd w:val="0"/>
    </w:pPr>
    <w:rPr>
      <w:rFonts w:ascii="Arial" w:eastAsia="Times New Roman" w:hAnsi="Arial" w:cs="Arial"/>
      <w:bCs/>
      <w:color w:val="000000"/>
      <w:sz w:val="24"/>
      <w:szCs w:val="24"/>
      <w:lang w:eastAsia="en-AU"/>
    </w:rPr>
  </w:style>
  <w:style w:type="paragraph" w:customStyle="1" w:styleId="BodyTextPolicy">
    <w:name w:val="Body Text Policy"/>
    <w:basedOn w:val="Default"/>
    <w:rsid w:val="00AC5FEB"/>
    <w:pPr>
      <w:spacing w:after="120"/>
      <w:ind w:left="567"/>
    </w:pPr>
    <w:rPr>
      <w:rFonts w:ascii="Arial" w:eastAsia="Times New Roman" w:hAnsi="Arial"/>
      <w:szCs w:val="20"/>
      <w:lang w:eastAsia="en-AU"/>
    </w:rPr>
  </w:style>
  <w:style w:type="paragraph" w:customStyle="1" w:styleId="NumberedHeadingsBold">
    <w:name w:val="Numbered Headings Bold"/>
    <w:basedOn w:val="Default"/>
    <w:rsid w:val="00AC5FEB"/>
    <w:pPr>
      <w:numPr>
        <w:numId w:val="1"/>
      </w:numPr>
      <w:spacing w:before="240" w:after="120"/>
    </w:pPr>
    <w:rPr>
      <w:rFonts w:ascii="Arial" w:eastAsia="Times New Roman" w:hAnsi="Arial"/>
      <w:b/>
      <w:bCs/>
      <w:szCs w:val="20"/>
      <w:lang w:eastAsia="en-AU"/>
    </w:rPr>
  </w:style>
  <w:style w:type="paragraph" w:customStyle="1" w:styleId="BodyTextPolicyNotes">
    <w:name w:val="Body Text Policy Notes"/>
    <w:basedOn w:val="BodyTextPolicy"/>
    <w:rsid w:val="00AC5FEB"/>
    <w:rPr>
      <w:i/>
      <w:iCs/>
      <w:sz w:val="20"/>
    </w:rPr>
  </w:style>
  <w:style w:type="paragraph" w:customStyle="1" w:styleId="LetterListPolicy">
    <w:name w:val="Letter List Policy"/>
    <w:basedOn w:val="Default"/>
    <w:rsid w:val="00AC5FEB"/>
    <w:pPr>
      <w:spacing w:after="60"/>
    </w:pPr>
    <w:rPr>
      <w:rFonts w:ascii="Arial" w:eastAsia="Times New Roman" w:hAnsi="Arial"/>
      <w:szCs w:val="20"/>
      <w:lang w:eastAsia="en-AU"/>
    </w:rPr>
  </w:style>
  <w:style w:type="character" w:styleId="FollowedHyperlink">
    <w:name w:val="FollowedHyperlink"/>
    <w:basedOn w:val="DefaultParagraphFont"/>
    <w:uiPriority w:val="99"/>
    <w:semiHidden/>
    <w:unhideWhenUsed/>
    <w:rsid w:val="00AC5FEB"/>
    <w:rPr>
      <w:color w:val="954F72" w:themeColor="followedHyperlink"/>
      <w:u w:val="single"/>
    </w:rPr>
  </w:style>
  <w:style w:type="table" w:styleId="TableGrid">
    <w:name w:val="Table Grid"/>
    <w:basedOn w:val="TableNormal"/>
    <w:uiPriority w:val="59"/>
    <w:rsid w:val="00AC5FEB"/>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FE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msonormal0">
    <w:name w:val="msonormal"/>
    <w:basedOn w:val="Normal"/>
    <w:rsid w:val="00AC5FEB"/>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C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EB"/>
    <w:rPr>
      <w:rFonts w:ascii="Segoe UI" w:hAnsi="Segoe UI" w:cs="Segoe UI"/>
      <w:sz w:val="18"/>
      <w:szCs w:val="18"/>
    </w:rPr>
  </w:style>
  <w:style w:type="paragraph" w:styleId="TOCHeading">
    <w:name w:val="TOC Heading"/>
    <w:basedOn w:val="Heading1"/>
    <w:next w:val="Normal"/>
    <w:uiPriority w:val="39"/>
    <w:unhideWhenUsed/>
    <w:qFormat/>
    <w:rsid w:val="00AC5FEB"/>
    <w:pPr>
      <w:spacing w:before="48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qFormat/>
    <w:rsid w:val="00AC5FEB"/>
    <w:pPr>
      <w:spacing w:before="120" w:after="120"/>
    </w:pPr>
    <w:rPr>
      <w:rFonts w:ascii="Arial" w:eastAsia="Times New Roman" w:hAnsi="Arial" w:cs="Arial"/>
      <w:caps/>
      <w:sz w:val="20"/>
      <w:szCs w:val="20"/>
    </w:rPr>
  </w:style>
  <w:style w:type="paragraph" w:styleId="BodyText">
    <w:name w:val="Body Text"/>
    <w:basedOn w:val="Normal"/>
    <w:link w:val="BodyTextChar"/>
    <w:rsid w:val="00AC5FEB"/>
    <w:pPr>
      <w:spacing w:before="120"/>
    </w:pPr>
    <w:rPr>
      <w:rFonts w:ascii="Arial" w:eastAsia="Times New Roman" w:hAnsi="Arial" w:cs="Times New Roman"/>
      <w:szCs w:val="20"/>
    </w:rPr>
  </w:style>
  <w:style w:type="character" w:customStyle="1" w:styleId="BodyTextChar">
    <w:name w:val="Body Text Char"/>
    <w:basedOn w:val="DefaultParagraphFont"/>
    <w:link w:val="BodyText"/>
    <w:rsid w:val="00AC5FEB"/>
    <w:rPr>
      <w:rFonts w:ascii="Arial" w:eastAsia="Times New Roman" w:hAnsi="Arial" w:cs="Times New Roman"/>
      <w:szCs w:val="20"/>
    </w:rPr>
  </w:style>
  <w:style w:type="paragraph" w:styleId="PlainText">
    <w:name w:val="Plain Text"/>
    <w:basedOn w:val="Normal"/>
    <w:link w:val="PlainTextChar"/>
    <w:rsid w:val="00AC5FE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C5FEB"/>
    <w:rPr>
      <w:rFonts w:ascii="Courier New" w:eastAsia="Times New Roman" w:hAnsi="Courier New" w:cs="Times New Roman"/>
      <w:sz w:val="20"/>
      <w:szCs w:val="20"/>
    </w:rPr>
  </w:style>
  <w:style w:type="paragraph" w:customStyle="1" w:styleId="StandardBodyText">
    <w:name w:val="Standard Body Text"/>
    <w:basedOn w:val="Normal"/>
    <w:rsid w:val="00AC5FEB"/>
    <w:pPr>
      <w:autoSpaceDE w:val="0"/>
      <w:autoSpaceDN w:val="0"/>
      <w:adjustRightInd w:val="0"/>
      <w:spacing w:after="60"/>
      <w:ind w:left="1077"/>
      <w:jc w:val="both"/>
    </w:pPr>
    <w:rPr>
      <w:rFonts w:ascii="Arial" w:eastAsia="Times New Roman" w:hAnsi="Arial" w:cs="Times New Roman"/>
      <w:color w:val="000000"/>
      <w:sz w:val="24"/>
      <w:szCs w:val="20"/>
      <w:lang w:eastAsia="en-AU"/>
    </w:rPr>
  </w:style>
  <w:style w:type="paragraph" w:customStyle="1" w:styleId="BulletListPolicy">
    <w:name w:val="Bullet List Policy"/>
    <w:basedOn w:val="Normal"/>
    <w:uiPriority w:val="99"/>
    <w:rsid w:val="00AC5FEB"/>
    <w:pPr>
      <w:numPr>
        <w:numId w:val="2"/>
      </w:numPr>
      <w:autoSpaceDE w:val="0"/>
      <w:autoSpaceDN w:val="0"/>
      <w:adjustRightInd w:val="0"/>
      <w:spacing w:after="60"/>
    </w:pPr>
    <w:rPr>
      <w:rFonts w:ascii="Arial" w:eastAsia="Times New Roman" w:hAnsi="Arial" w:cs="Times New Roman"/>
      <w:color w:val="000000"/>
      <w:sz w:val="24"/>
      <w:szCs w:val="20"/>
      <w:lang w:eastAsia="en-AU"/>
    </w:rPr>
  </w:style>
  <w:style w:type="paragraph" w:styleId="FootnoteText">
    <w:name w:val="footnote text"/>
    <w:basedOn w:val="Normal"/>
    <w:link w:val="FootnoteTextChar"/>
    <w:uiPriority w:val="99"/>
    <w:rsid w:val="00AC5FEB"/>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AC5FEB"/>
    <w:rPr>
      <w:rFonts w:ascii="Calibri" w:eastAsia="Times New Roman" w:hAnsi="Calibri" w:cs="Times New Roman"/>
      <w:sz w:val="20"/>
      <w:szCs w:val="20"/>
      <w:lang w:eastAsia="en-AU"/>
    </w:rPr>
  </w:style>
  <w:style w:type="paragraph" w:customStyle="1" w:styleId="Numberedheadings1">
    <w:name w:val="Numbered headings1"/>
    <w:basedOn w:val="Normal"/>
    <w:qFormat/>
    <w:rsid w:val="00AC5FEB"/>
    <w:pPr>
      <w:spacing w:before="240" w:after="120" w:line="276" w:lineRule="auto"/>
      <w:jc w:val="both"/>
    </w:pPr>
    <w:rPr>
      <w:rFonts w:ascii="Times New Roman" w:eastAsia="Times New Roman" w:hAnsi="Times New Roman" w:cs="Times New Roman"/>
      <w:b/>
      <w:sz w:val="21"/>
      <w:szCs w:val="20"/>
      <w:lang w:val="en-GB" w:eastAsia="en-AU"/>
    </w:rPr>
  </w:style>
  <w:style w:type="paragraph" w:customStyle="1" w:styleId="NumberListPolicy">
    <w:name w:val="Number List Policy"/>
    <w:basedOn w:val="Normal"/>
    <w:uiPriority w:val="99"/>
    <w:rsid w:val="00AC5FEB"/>
    <w:pPr>
      <w:autoSpaceDE w:val="0"/>
      <w:autoSpaceDN w:val="0"/>
      <w:adjustRightInd w:val="0"/>
      <w:spacing w:after="60"/>
    </w:pPr>
    <w:rPr>
      <w:rFonts w:ascii="Arial" w:eastAsia="Times New Roman" w:hAnsi="Arial" w:cs="Times New Roman"/>
      <w:color w:val="000000"/>
      <w:sz w:val="24"/>
      <w:szCs w:val="20"/>
      <w:lang w:eastAsia="en-AU"/>
    </w:rPr>
  </w:style>
  <w:style w:type="paragraph" w:customStyle="1" w:styleId="Pa12">
    <w:name w:val="Pa1+2"/>
    <w:basedOn w:val="Default"/>
    <w:next w:val="Default"/>
    <w:uiPriority w:val="99"/>
    <w:rsid w:val="00AC5FEB"/>
    <w:pPr>
      <w:spacing w:line="241" w:lineRule="atLeast"/>
    </w:pPr>
    <w:rPr>
      <w:rFonts w:ascii="Gotham Medium" w:hAnsi="Gotham Medium" w:cstheme="minorBidi"/>
      <w:color w:val="auto"/>
    </w:rPr>
  </w:style>
  <w:style w:type="character" w:styleId="Emphasis">
    <w:name w:val="Emphasis"/>
    <w:basedOn w:val="DefaultParagraphFont"/>
    <w:uiPriority w:val="20"/>
    <w:qFormat/>
    <w:rsid w:val="00AC5FEB"/>
    <w:rPr>
      <w:i/>
      <w:iCs/>
    </w:rPr>
  </w:style>
  <w:style w:type="character" w:styleId="Strong">
    <w:name w:val="Strong"/>
    <w:basedOn w:val="DefaultParagraphFont"/>
    <w:uiPriority w:val="22"/>
    <w:qFormat/>
    <w:rsid w:val="00AC5FEB"/>
    <w:rPr>
      <w:b/>
      <w:bCs/>
    </w:rPr>
  </w:style>
  <w:style w:type="paragraph" w:styleId="BodyText2">
    <w:name w:val="Body Text 2"/>
    <w:basedOn w:val="Normal"/>
    <w:link w:val="BodyText2Char"/>
    <w:uiPriority w:val="99"/>
    <w:semiHidden/>
    <w:unhideWhenUsed/>
    <w:rsid w:val="00AC5FEB"/>
    <w:pPr>
      <w:spacing w:after="120" w:line="480" w:lineRule="auto"/>
    </w:pPr>
  </w:style>
  <w:style w:type="character" w:customStyle="1" w:styleId="BodyText2Char">
    <w:name w:val="Body Text 2 Char"/>
    <w:basedOn w:val="DefaultParagraphFont"/>
    <w:link w:val="BodyText2"/>
    <w:uiPriority w:val="99"/>
    <w:semiHidden/>
    <w:rsid w:val="00AC5FEB"/>
    <w:rPr>
      <w:rFonts w:ascii="Calibri" w:hAnsi="Calibri" w:cs="Calibri"/>
    </w:rPr>
  </w:style>
  <w:style w:type="paragraph" w:customStyle="1" w:styleId="Pa5">
    <w:name w:val="Pa5"/>
    <w:basedOn w:val="Default"/>
    <w:next w:val="Default"/>
    <w:uiPriority w:val="99"/>
    <w:rsid w:val="00AC5FEB"/>
    <w:pPr>
      <w:spacing w:line="181" w:lineRule="atLeast"/>
    </w:pPr>
    <w:rPr>
      <w:rFonts w:ascii="MillerText" w:hAnsi="MillerText" w:cstheme="minorBidi"/>
      <w:color w:val="auto"/>
    </w:rPr>
  </w:style>
  <w:style w:type="character" w:customStyle="1" w:styleId="A6">
    <w:name w:val="A6"/>
    <w:uiPriority w:val="99"/>
    <w:rsid w:val="00AC5FEB"/>
    <w:rPr>
      <w:rFonts w:cs="MillerText"/>
      <w:color w:val="000000"/>
      <w:sz w:val="10"/>
      <w:szCs w:val="10"/>
    </w:rPr>
  </w:style>
  <w:style w:type="paragraph" w:customStyle="1" w:styleId="Bulletlist">
    <w:name w:val="Bullet list"/>
    <w:basedOn w:val="Normal"/>
    <w:qFormat/>
    <w:rsid w:val="00AC5FEB"/>
    <w:pPr>
      <w:spacing w:before="40" w:after="40" w:line="276" w:lineRule="auto"/>
      <w:jc w:val="both"/>
    </w:pPr>
    <w:rPr>
      <w:rFonts w:ascii="Times New Roman" w:eastAsia="Times New Roman" w:hAnsi="Times New Roman" w:cs="Times New Roman"/>
      <w:sz w:val="21"/>
      <w:szCs w:val="20"/>
      <w:lang w:val="en-GB" w:eastAsia="en-AU"/>
    </w:rPr>
  </w:style>
  <w:style w:type="character" w:customStyle="1" w:styleId="apple-converted-space">
    <w:name w:val="apple-converted-space"/>
    <w:basedOn w:val="DefaultParagraphFont"/>
    <w:rsid w:val="00AC5FEB"/>
  </w:style>
  <w:style w:type="paragraph" w:customStyle="1" w:styleId="Bodyindent">
    <w:name w:val="Body indent"/>
    <w:basedOn w:val="NormalWeb"/>
    <w:link w:val="BodyindentChar"/>
    <w:qFormat/>
    <w:rsid w:val="00AC5FEB"/>
    <w:pPr>
      <w:spacing w:before="120" w:beforeAutospacing="0" w:after="120" w:afterAutospacing="0"/>
      <w:ind w:left="567"/>
    </w:pPr>
    <w:rPr>
      <w:rFonts w:ascii="Arial" w:hAnsi="Arial" w:cs="Arial"/>
      <w:color w:val="000000"/>
      <w:sz w:val="22"/>
      <w:szCs w:val="22"/>
      <w:lang w:bidi="en-US"/>
    </w:rPr>
  </w:style>
  <w:style w:type="character" w:customStyle="1" w:styleId="BodyindentChar">
    <w:name w:val="Body indent Char"/>
    <w:link w:val="Bodyindent"/>
    <w:rsid w:val="00AC5FEB"/>
    <w:rPr>
      <w:rFonts w:ascii="Arial" w:eastAsia="Times New Roman" w:hAnsi="Arial" w:cs="Arial"/>
      <w:color w:val="000000"/>
      <w:lang w:eastAsia="en-AU" w:bidi="en-US"/>
    </w:rPr>
  </w:style>
  <w:style w:type="paragraph" w:customStyle="1" w:styleId="bullet">
    <w:name w:val="bullet"/>
    <w:basedOn w:val="Normal"/>
    <w:link w:val="bulletChar"/>
    <w:qFormat/>
    <w:rsid w:val="00AC5FEB"/>
    <w:pPr>
      <w:numPr>
        <w:numId w:val="15"/>
      </w:numPr>
      <w:tabs>
        <w:tab w:val="left" w:pos="1134"/>
      </w:tabs>
      <w:spacing w:after="80" w:line="260" w:lineRule="atLeast"/>
    </w:pPr>
    <w:rPr>
      <w:rFonts w:ascii="Arial" w:eastAsia="Calibri" w:hAnsi="Arial" w:cs="Arial"/>
      <w:color w:val="000000"/>
      <w:lang w:bidi="en-US"/>
    </w:rPr>
  </w:style>
  <w:style w:type="character" w:customStyle="1" w:styleId="bulletChar">
    <w:name w:val="bullet Char"/>
    <w:link w:val="bullet"/>
    <w:rsid w:val="00AC5FEB"/>
    <w:rPr>
      <w:rFonts w:ascii="Arial" w:eastAsia="Calibri" w:hAnsi="Arial" w:cs="Arial"/>
      <w:color w:val="000000"/>
      <w:lang w:bidi="en-US"/>
    </w:rPr>
  </w:style>
  <w:style w:type="paragraph" w:styleId="NoSpacing">
    <w:name w:val="No Spacing"/>
    <w:uiPriority w:val="1"/>
    <w:qFormat/>
    <w:rsid w:val="00AC5FEB"/>
    <w:pPr>
      <w:spacing w:after="0" w:line="240" w:lineRule="auto"/>
    </w:pPr>
    <w:rPr>
      <w:rFonts w:eastAsiaTheme="minorEastAsia"/>
      <w:lang w:eastAsia="en-AU"/>
    </w:rPr>
  </w:style>
  <w:style w:type="paragraph" w:styleId="ListBullet2">
    <w:name w:val="List Bullet 2"/>
    <w:basedOn w:val="Normal"/>
    <w:rsid w:val="00AC5FEB"/>
    <w:pPr>
      <w:overflowPunct w:val="0"/>
      <w:autoSpaceDE w:val="0"/>
      <w:autoSpaceDN w:val="0"/>
      <w:adjustRightInd w:val="0"/>
      <w:ind w:left="566" w:hanging="283"/>
      <w:textAlignment w:val="baseline"/>
    </w:pPr>
    <w:rPr>
      <w:rFonts w:ascii="Univers" w:eastAsia="Times New Roman" w:hAnsi="Univers" w:cs="Times New Roman"/>
      <w:szCs w:val="20"/>
      <w:lang w:eastAsia="en-AU"/>
    </w:rPr>
  </w:style>
  <w:style w:type="character" w:customStyle="1" w:styleId="BodystyleChar">
    <w:name w:val="Body style Char"/>
    <w:link w:val="Bodystyle"/>
    <w:semiHidden/>
    <w:locked/>
    <w:rsid w:val="00AC5FEB"/>
    <w:rPr>
      <w:rFonts w:ascii="Arial" w:eastAsia="Calibri" w:hAnsi="Arial" w:cs="Arial"/>
      <w:color w:val="000000"/>
      <w:lang w:bidi="en-US"/>
    </w:rPr>
  </w:style>
  <w:style w:type="paragraph" w:customStyle="1" w:styleId="Bodystyle">
    <w:name w:val="Body style"/>
    <w:basedOn w:val="Normal"/>
    <w:link w:val="BodystyleChar"/>
    <w:semiHidden/>
    <w:qFormat/>
    <w:rsid w:val="00AC5FEB"/>
    <w:pPr>
      <w:spacing w:after="200" w:line="260" w:lineRule="exact"/>
    </w:pPr>
    <w:rPr>
      <w:rFonts w:ascii="Arial" w:eastAsia="Calibri" w:hAnsi="Arial" w:cs="Arial"/>
      <w:color w:val="000000"/>
      <w:lang w:bidi="en-US"/>
    </w:rPr>
  </w:style>
  <w:style w:type="paragraph" w:styleId="TOC2">
    <w:name w:val="toc 2"/>
    <w:basedOn w:val="Normal"/>
    <w:next w:val="Normal"/>
    <w:autoRedefine/>
    <w:uiPriority w:val="39"/>
    <w:semiHidden/>
    <w:unhideWhenUsed/>
    <w:rsid w:val="00AC5FEB"/>
    <w:pPr>
      <w:spacing w:after="100"/>
      <w:ind w:left="220"/>
    </w:pPr>
  </w:style>
  <w:style w:type="character" w:styleId="PageNumber">
    <w:name w:val="page number"/>
    <w:basedOn w:val="DefaultParagraphFont"/>
    <w:uiPriority w:val="99"/>
    <w:semiHidden/>
    <w:unhideWhenUsed/>
    <w:rsid w:val="00AC5FEB"/>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AC5FEB"/>
    <w:rPr>
      <w:rFonts w:ascii="Calibri" w:hAnsi="Calibri" w:cs="Calibri"/>
    </w:rPr>
  </w:style>
  <w:style w:type="paragraph" w:customStyle="1" w:styleId="TableParagraph">
    <w:name w:val="Table Paragraph"/>
    <w:basedOn w:val="Normal"/>
    <w:uiPriority w:val="1"/>
    <w:qFormat/>
    <w:rsid w:val="00AC5FEB"/>
    <w:pPr>
      <w:widowControl w:val="0"/>
      <w:autoSpaceDE w:val="0"/>
      <w:autoSpaceDN w:val="0"/>
    </w:pPr>
    <w:rPr>
      <w:rFonts w:ascii="Arial" w:eastAsia="Arial" w:hAnsi="Arial" w:cs="Arial"/>
      <w:lang w:eastAsia="en-AU" w:bidi="en-AU"/>
    </w:rPr>
  </w:style>
  <w:style w:type="character" w:styleId="UnresolvedMention">
    <w:name w:val="Unresolved Mention"/>
    <w:basedOn w:val="DefaultParagraphFont"/>
    <w:uiPriority w:val="99"/>
    <w:semiHidden/>
    <w:unhideWhenUsed/>
    <w:rsid w:val="00AC5FEB"/>
    <w:rPr>
      <w:color w:val="605E5C"/>
      <w:shd w:val="clear" w:color="auto" w:fill="E1DFDD"/>
    </w:rPr>
  </w:style>
  <w:style w:type="character" w:customStyle="1" w:styleId="algo-summary">
    <w:name w:val="algo-summary"/>
    <w:basedOn w:val="DefaultParagraphFont"/>
    <w:rsid w:val="00A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Rhonda Storen</cp:lastModifiedBy>
  <cp:revision>8</cp:revision>
  <dcterms:created xsi:type="dcterms:W3CDTF">2019-01-08T06:20:00Z</dcterms:created>
  <dcterms:modified xsi:type="dcterms:W3CDTF">2019-02-08T02:48:00Z</dcterms:modified>
</cp:coreProperties>
</file>